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30" w:rsidRPr="00491934" w:rsidRDefault="00034C30" w:rsidP="00034C30">
      <w:pPr>
        <w:jc w:val="center"/>
        <w:rPr>
          <w:rFonts w:ascii="华文楷体" w:eastAsia="华文楷体" w:hAnsi="华文楷体"/>
          <w:b/>
          <w:sz w:val="48"/>
          <w:szCs w:val="48"/>
        </w:rPr>
      </w:pPr>
    </w:p>
    <w:p w:rsidR="00034C30" w:rsidRPr="00491934" w:rsidRDefault="00034C30" w:rsidP="00034C30">
      <w:pPr>
        <w:jc w:val="center"/>
        <w:rPr>
          <w:rFonts w:ascii="华文楷体" w:eastAsia="华文楷体" w:hAnsi="华文楷体"/>
          <w:b/>
          <w:sz w:val="48"/>
          <w:szCs w:val="48"/>
        </w:rPr>
      </w:pPr>
    </w:p>
    <w:p w:rsidR="00034C30" w:rsidRPr="00491934" w:rsidRDefault="00034C30" w:rsidP="00034C30">
      <w:pPr>
        <w:jc w:val="center"/>
        <w:rPr>
          <w:rFonts w:ascii="华文楷体" w:eastAsia="华文楷体" w:hAnsi="华文楷体"/>
          <w:b/>
          <w:sz w:val="48"/>
          <w:szCs w:val="48"/>
        </w:rPr>
      </w:pPr>
    </w:p>
    <w:p w:rsidR="001E209B" w:rsidRDefault="001079F1" w:rsidP="00034C30">
      <w:pPr>
        <w:jc w:val="center"/>
        <w:rPr>
          <w:rFonts w:ascii="华文楷体" w:eastAsia="华文楷体" w:hAnsi="华文楷体"/>
          <w:b/>
          <w:sz w:val="44"/>
          <w:szCs w:val="44"/>
        </w:rPr>
      </w:pPr>
      <w:r w:rsidRPr="001079F1">
        <w:rPr>
          <w:rFonts w:ascii="华文楷体" w:eastAsia="华文楷体" w:hAnsi="华文楷体" w:hint="eastAsia"/>
          <w:b/>
          <w:sz w:val="44"/>
          <w:szCs w:val="44"/>
        </w:rPr>
        <w:t>苏州市城市轨道交通近期建设规划</w:t>
      </w:r>
      <w:r w:rsidRPr="001079F1">
        <w:rPr>
          <w:rFonts w:ascii="华文楷体" w:eastAsia="华文楷体" w:hAnsi="华文楷体"/>
          <w:b/>
          <w:sz w:val="44"/>
          <w:szCs w:val="44"/>
        </w:rPr>
        <w:t>（2016-202</w:t>
      </w:r>
      <w:r w:rsidRPr="001079F1">
        <w:rPr>
          <w:rFonts w:ascii="华文楷体" w:eastAsia="华文楷体" w:hAnsi="华文楷体" w:hint="eastAsia"/>
          <w:b/>
          <w:sz w:val="44"/>
          <w:szCs w:val="44"/>
        </w:rPr>
        <w:t>2</w:t>
      </w:r>
      <w:r w:rsidRPr="001079F1">
        <w:rPr>
          <w:rFonts w:ascii="华文楷体" w:eastAsia="华文楷体" w:hAnsi="华文楷体"/>
          <w:b/>
          <w:sz w:val="44"/>
          <w:szCs w:val="44"/>
        </w:rPr>
        <w:t>）</w:t>
      </w:r>
      <w:r w:rsidRPr="001079F1">
        <w:rPr>
          <w:rFonts w:ascii="华文楷体" w:eastAsia="华文楷体" w:hAnsi="华文楷体" w:hint="eastAsia"/>
          <w:b/>
          <w:sz w:val="44"/>
          <w:szCs w:val="44"/>
        </w:rPr>
        <w:t>及线网</w:t>
      </w:r>
      <w:r w:rsidR="001E209B" w:rsidRPr="001E209B">
        <w:rPr>
          <w:rFonts w:ascii="华文楷体" w:eastAsia="华文楷体" w:hAnsi="华文楷体" w:hint="eastAsia"/>
          <w:b/>
          <w:sz w:val="44"/>
          <w:szCs w:val="44"/>
        </w:rPr>
        <w:t>规划</w:t>
      </w:r>
    </w:p>
    <w:p w:rsidR="001E209B" w:rsidRPr="001E209B" w:rsidRDefault="001E209B" w:rsidP="00034C30">
      <w:pPr>
        <w:jc w:val="center"/>
        <w:rPr>
          <w:rFonts w:ascii="华文楷体" w:eastAsia="华文楷体" w:hAnsi="华文楷体"/>
          <w:b/>
          <w:sz w:val="48"/>
          <w:szCs w:val="48"/>
        </w:rPr>
      </w:pPr>
      <w:r w:rsidRPr="001E209B">
        <w:rPr>
          <w:rFonts w:ascii="华文楷体" w:eastAsia="华文楷体" w:hAnsi="华文楷体" w:hint="eastAsia"/>
          <w:b/>
          <w:sz w:val="48"/>
          <w:szCs w:val="48"/>
        </w:rPr>
        <w:t>环境影响报告书</w:t>
      </w:r>
    </w:p>
    <w:p w:rsidR="00034C30" w:rsidRPr="00491934" w:rsidRDefault="00034C30" w:rsidP="00034C30">
      <w:pPr>
        <w:jc w:val="center"/>
        <w:rPr>
          <w:rFonts w:ascii="华文楷体" w:eastAsia="华文楷体" w:hAnsi="华文楷体"/>
          <w:b/>
          <w:sz w:val="48"/>
          <w:szCs w:val="48"/>
        </w:rPr>
      </w:pPr>
      <w:r w:rsidRPr="00491934">
        <w:rPr>
          <w:rFonts w:ascii="华文楷体" w:eastAsia="华文楷体" w:hAnsi="华文楷体" w:hint="eastAsia"/>
          <w:b/>
          <w:sz w:val="48"/>
          <w:szCs w:val="48"/>
        </w:rPr>
        <w:t>（简本）</w:t>
      </w:r>
    </w:p>
    <w:p w:rsidR="00034C30" w:rsidRPr="00491934" w:rsidRDefault="00034C30" w:rsidP="00034C30">
      <w:pPr>
        <w:jc w:val="center"/>
        <w:rPr>
          <w:rFonts w:ascii="华文楷体" w:eastAsia="华文楷体" w:hAnsi="华文楷体"/>
          <w:b/>
          <w:sz w:val="48"/>
          <w:szCs w:val="48"/>
        </w:rPr>
      </w:pPr>
    </w:p>
    <w:p w:rsidR="00034C30" w:rsidRPr="00491934" w:rsidRDefault="00034C30" w:rsidP="00034C30">
      <w:pPr>
        <w:jc w:val="center"/>
        <w:rPr>
          <w:rFonts w:ascii="华文楷体" w:eastAsia="华文楷体" w:hAnsi="华文楷体"/>
          <w:b/>
          <w:sz w:val="48"/>
          <w:szCs w:val="48"/>
        </w:rPr>
      </w:pPr>
    </w:p>
    <w:p w:rsidR="00034C30" w:rsidRPr="00491934" w:rsidRDefault="00034C30" w:rsidP="00034C30">
      <w:pPr>
        <w:jc w:val="center"/>
        <w:rPr>
          <w:rFonts w:ascii="华文楷体" w:eastAsia="华文楷体" w:hAnsi="华文楷体"/>
          <w:b/>
          <w:sz w:val="48"/>
          <w:szCs w:val="48"/>
        </w:rPr>
      </w:pPr>
    </w:p>
    <w:p w:rsidR="00034C30" w:rsidRDefault="00034C30" w:rsidP="00034C30">
      <w:pPr>
        <w:jc w:val="center"/>
        <w:rPr>
          <w:rFonts w:ascii="华文楷体" w:eastAsia="华文楷体" w:hAnsi="华文楷体"/>
          <w:b/>
          <w:sz w:val="48"/>
          <w:szCs w:val="48"/>
        </w:rPr>
      </w:pPr>
    </w:p>
    <w:p w:rsidR="0047621D" w:rsidRDefault="0047621D" w:rsidP="00034C30">
      <w:pPr>
        <w:jc w:val="center"/>
        <w:rPr>
          <w:rFonts w:ascii="华文楷体" w:eastAsia="华文楷体" w:hAnsi="华文楷体"/>
          <w:b/>
          <w:sz w:val="48"/>
          <w:szCs w:val="48"/>
        </w:rPr>
      </w:pPr>
    </w:p>
    <w:p w:rsidR="0047621D" w:rsidRPr="00491934" w:rsidRDefault="0047621D" w:rsidP="00034C30">
      <w:pPr>
        <w:jc w:val="center"/>
        <w:rPr>
          <w:rFonts w:ascii="华文楷体" w:eastAsia="华文楷体" w:hAnsi="华文楷体"/>
          <w:b/>
          <w:sz w:val="48"/>
          <w:szCs w:val="48"/>
        </w:rPr>
      </w:pPr>
    </w:p>
    <w:p w:rsidR="00034C30" w:rsidRPr="00491934" w:rsidRDefault="00034C30" w:rsidP="00034C30">
      <w:pPr>
        <w:jc w:val="center"/>
        <w:rPr>
          <w:b/>
          <w:sz w:val="28"/>
          <w:szCs w:val="28"/>
        </w:rPr>
      </w:pPr>
      <w:r w:rsidRPr="00491934">
        <w:rPr>
          <w:rFonts w:hint="eastAsia"/>
          <w:b/>
          <w:sz w:val="28"/>
          <w:szCs w:val="28"/>
        </w:rPr>
        <w:t>评价单位：</w:t>
      </w:r>
      <w:r w:rsidR="000E1733" w:rsidRPr="000E1733">
        <w:rPr>
          <w:rFonts w:hint="eastAsia"/>
          <w:b/>
          <w:sz w:val="28"/>
          <w:szCs w:val="28"/>
        </w:rPr>
        <w:t>中海环境科技（上海）股份有限公司</w:t>
      </w:r>
    </w:p>
    <w:p w:rsidR="00034C30" w:rsidRPr="00491934" w:rsidRDefault="00034C30" w:rsidP="00034C30">
      <w:pPr>
        <w:jc w:val="center"/>
        <w:rPr>
          <w:b/>
          <w:sz w:val="28"/>
          <w:szCs w:val="28"/>
        </w:rPr>
      </w:pPr>
      <w:r w:rsidRPr="00491934">
        <w:rPr>
          <w:rFonts w:hint="eastAsia"/>
          <w:b/>
          <w:sz w:val="28"/>
          <w:szCs w:val="28"/>
        </w:rPr>
        <w:t>建设单位：</w:t>
      </w:r>
      <w:r w:rsidR="001079F1" w:rsidRPr="001079F1">
        <w:rPr>
          <w:rFonts w:hint="eastAsia"/>
          <w:b/>
          <w:sz w:val="28"/>
          <w:szCs w:val="28"/>
        </w:rPr>
        <w:t>苏州市轨道交通集团有限公司</w:t>
      </w:r>
    </w:p>
    <w:p w:rsidR="00034C30" w:rsidRPr="00491934" w:rsidRDefault="00034C30" w:rsidP="00034C30">
      <w:pPr>
        <w:jc w:val="center"/>
        <w:rPr>
          <w:b/>
          <w:sz w:val="28"/>
          <w:szCs w:val="28"/>
        </w:rPr>
      </w:pPr>
      <w:r w:rsidRPr="00491934">
        <w:rPr>
          <w:rFonts w:hint="eastAsia"/>
          <w:b/>
          <w:sz w:val="28"/>
          <w:szCs w:val="28"/>
        </w:rPr>
        <w:t>201</w:t>
      </w:r>
      <w:r w:rsidR="000E1733">
        <w:rPr>
          <w:rFonts w:hint="eastAsia"/>
          <w:b/>
          <w:sz w:val="28"/>
          <w:szCs w:val="28"/>
        </w:rPr>
        <w:t>5</w:t>
      </w:r>
      <w:r w:rsidRPr="00491934">
        <w:rPr>
          <w:rFonts w:hint="eastAsia"/>
          <w:b/>
          <w:sz w:val="28"/>
          <w:szCs w:val="28"/>
        </w:rPr>
        <w:t>.</w:t>
      </w:r>
      <w:r w:rsidR="0047621D">
        <w:rPr>
          <w:rFonts w:hint="eastAsia"/>
          <w:b/>
          <w:sz w:val="28"/>
          <w:szCs w:val="28"/>
        </w:rPr>
        <w:t>12</w:t>
      </w:r>
    </w:p>
    <w:p w:rsidR="00034C30" w:rsidRPr="00491934" w:rsidRDefault="00034C30" w:rsidP="00034C30">
      <w:pPr>
        <w:jc w:val="center"/>
        <w:rPr>
          <w:rFonts w:ascii="Times New Roman" w:eastAsia="宋体"/>
        </w:rPr>
        <w:sectPr w:rsidR="00034C30" w:rsidRPr="00491934" w:rsidSect="003D3F61">
          <w:pgSz w:w="11906" w:h="16838"/>
          <w:pgMar w:top="1440" w:right="1800" w:bottom="1440" w:left="1800" w:header="851" w:footer="992" w:gutter="0"/>
          <w:cols w:space="425"/>
          <w:docGrid w:type="lines" w:linePitch="312"/>
        </w:sectPr>
      </w:pPr>
    </w:p>
    <w:p w:rsidR="00096CD8" w:rsidRPr="00491934" w:rsidRDefault="00A22F48" w:rsidP="00096CD8">
      <w:pPr>
        <w:pStyle w:val="1"/>
        <w:numPr>
          <w:ilvl w:val="0"/>
          <w:numId w:val="1"/>
        </w:numPr>
        <w:tabs>
          <w:tab w:val="clear" w:pos="3365"/>
          <w:tab w:val="num" w:pos="0"/>
        </w:tabs>
        <w:ind w:left="0" w:firstLine="0"/>
        <w:rPr>
          <w:rFonts w:ascii="Times New Roman" w:hAnsi="Times New Roman"/>
          <w:sz w:val="32"/>
          <w:szCs w:val="32"/>
        </w:rPr>
      </w:pPr>
      <w:bookmarkStart w:id="0" w:name="_Toc321685583"/>
      <w:bookmarkStart w:id="1" w:name="_Toc321685852"/>
      <w:bookmarkStart w:id="2" w:name="_Toc321686121"/>
      <w:bookmarkStart w:id="3" w:name="_Toc326507647"/>
      <w:bookmarkStart w:id="4" w:name="_Toc349723652"/>
      <w:r>
        <w:rPr>
          <w:rFonts w:hint="eastAsia"/>
          <w:sz w:val="24"/>
          <w:szCs w:val="24"/>
        </w:rPr>
        <w:lastRenderedPageBreak/>
        <w:t>环境影响评价范围</w:t>
      </w:r>
      <w:r w:rsidR="00096CD8" w:rsidRPr="00491934">
        <w:rPr>
          <w:rFonts w:hint="eastAsia"/>
          <w:sz w:val="24"/>
          <w:szCs w:val="24"/>
        </w:rPr>
        <w:t>概述</w:t>
      </w:r>
      <w:bookmarkEnd w:id="0"/>
      <w:bookmarkEnd w:id="1"/>
      <w:bookmarkEnd w:id="2"/>
      <w:bookmarkEnd w:id="3"/>
      <w:bookmarkEnd w:id="4"/>
    </w:p>
    <w:p w:rsidR="0047621D" w:rsidRPr="0047621D" w:rsidRDefault="00A22F48" w:rsidP="00C97ABA">
      <w:pPr>
        <w:spacing w:beforeLines="20" w:afterLines="20" w:line="400" w:lineRule="exact"/>
        <w:ind w:firstLineChars="196" w:firstLine="470"/>
        <w:rPr>
          <w:color w:val="000000"/>
          <w:sz w:val="24"/>
        </w:rPr>
      </w:pPr>
      <w:r>
        <w:rPr>
          <w:rFonts w:hint="eastAsia"/>
          <w:color w:val="000000"/>
          <w:sz w:val="24"/>
        </w:rPr>
        <w:t>《</w:t>
      </w:r>
      <w:r w:rsidR="0047621D" w:rsidRPr="0047621D">
        <w:rPr>
          <w:color w:val="000000"/>
          <w:sz w:val="24"/>
        </w:rPr>
        <w:t>苏州市城市轨道交通近期建设规划（</w:t>
      </w:r>
      <w:r w:rsidR="0047621D" w:rsidRPr="0047621D">
        <w:rPr>
          <w:color w:val="000000"/>
          <w:sz w:val="24"/>
        </w:rPr>
        <w:t>2016-2022</w:t>
      </w:r>
      <w:r w:rsidR="0047621D" w:rsidRPr="0047621D">
        <w:rPr>
          <w:color w:val="000000"/>
          <w:sz w:val="24"/>
        </w:rPr>
        <w:t>）》</w:t>
      </w:r>
      <w:r>
        <w:rPr>
          <w:rFonts w:hint="eastAsia"/>
          <w:color w:val="000000"/>
          <w:sz w:val="24"/>
        </w:rPr>
        <w:t>环境影响评价范围为</w:t>
      </w:r>
      <w:r w:rsidR="0047621D" w:rsidRPr="0047621D">
        <w:rPr>
          <w:color w:val="000000"/>
          <w:sz w:val="24"/>
        </w:rPr>
        <w:t>6</w:t>
      </w:r>
      <w:r w:rsidR="0047621D" w:rsidRPr="0047621D">
        <w:rPr>
          <w:color w:val="000000"/>
          <w:sz w:val="24"/>
        </w:rPr>
        <w:t>号线、</w:t>
      </w:r>
      <w:r w:rsidR="0047621D" w:rsidRPr="0047621D">
        <w:rPr>
          <w:color w:val="000000"/>
          <w:sz w:val="24"/>
        </w:rPr>
        <w:t> 7 </w:t>
      </w:r>
      <w:r w:rsidR="0047621D" w:rsidRPr="0047621D">
        <w:rPr>
          <w:color w:val="000000"/>
          <w:sz w:val="24"/>
        </w:rPr>
        <w:t>号线、</w:t>
      </w:r>
      <w:r w:rsidR="0047621D" w:rsidRPr="0047621D">
        <w:rPr>
          <w:color w:val="000000"/>
          <w:sz w:val="24"/>
        </w:rPr>
        <w:t>8</w:t>
      </w:r>
      <w:r w:rsidR="0047621D" w:rsidRPr="0047621D">
        <w:rPr>
          <w:color w:val="000000"/>
          <w:sz w:val="24"/>
        </w:rPr>
        <w:t>号线和</w:t>
      </w:r>
      <w:r w:rsidR="0047621D" w:rsidRPr="0047621D">
        <w:rPr>
          <w:color w:val="000000"/>
          <w:sz w:val="24"/>
        </w:rPr>
        <w:t> </w:t>
      </w:r>
      <w:r w:rsidR="0047621D" w:rsidRPr="0047621D">
        <w:rPr>
          <w:color w:val="000000"/>
          <w:sz w:val="24"/>
        </w:rPr>
        <w:t>市域</w:t>
      </w:r>
      <w:r w:rsidR="0047621D" w:rsidRPr="0047621D">
        <w:rPr>
          <w:rFonts w:hint="eastAsia"/>
          <w:color w:val="000000"/>
          <w:sz w:val="24"/>
        </w:rPr>
        <w:t>轨道交通</w:t>
      </w:r>
      <w:r w:rsidR="0047621D" w:rsidRPr="0047621D">
        <w:rPr>
          <w:color w:val="000000"/>
          <w:sz w:val="24"/>
        </w:rPr>
        <w:t>S1</w:t>
      </w:r>
      <w:r w:rsidR="0047621D" w:rsidRPr="0047621D">
        <w:rPr>
          <w:color w:val="000000"/>
          <w:sz w:val="24"/>
        </w:rPr>
        <w:t>线一期工程，建设规模为</w:t>
      </w:r>
      <w:r w:rsidR="0047621D" w:rsidRPr="0047621D">
        <w:rPr>
          <w:color w:val="000000"/>
          <w:sz w:val="24"/>
        </w:rPr>
        <w:t> </w:t>
      </w:r>
      <w:r w:rsidR="0047621D" w:rsidRPr="0047621D">
        <w:rPr>
          <w:rFonts w:hint="eastAsia"/>
          <w:color w:val="000000"/>
          <w:sz w:val="24"/>
        </w:rPr>
        <w:t>148.5</w:t>
      </w:r>
      <w:r w:rsidR="0047621D" w:rsidRPr="0047621D">
        <w:rPr>
          <w:color w:val="000000"/>
          <w:sz w:val="24"/>
        </w:rPr>
        <w:t>km</w:t>
      </w:r>
      <w:r w:rsidR="0047621D" w:rsidRPr="0047621D">
        <w:rPr>
          <w:color w:val="000000"/>
          <w:sz w:val="24"/>
        </w:rPr>
        <w:t>（含既有上海</w:t>
      </w:r>
      <w:r w:rsidR="0047621D" w:rsidRPr="0047621D">
        <w:rPr>
          <w:color w:val="000000"/>
          <w:sz w:val="24"/>
        </w:rPr>
        <w:t>11</w:t>
      </w:r>
      <w:r w:rsidR="0047621D" w:rsidRPr="0047621D">
        <w:rPr>
          <w:color w:val="000000"/>
          <w:sz w:val="24"/>
        </w:rPr>
        <w:t>号线花桥段线路长</w:t>
      </w:r>
      <w:r w:rsidR="0047621D" w:rsidRPr="0047621D">
        <w:rPr>
          <w:color w:val="000000"/>
          <w:sz w:val="24"/>
        </w:rPr>
        <w:t>5.1km</w:t>
      </w:r>
      <w:r w:rsidR="0047621D" w:rsidRPr="0047621D">
        <w:rPr>
          <w:color w:val="000000"/>
          <w:sz w:val="24"/>
        </w:rPr>
        <w:t>），</w:t>
      </w:r>
      <w:r w:rsidR="0047621D" w:rsidRPr="0047621D">
        <w:rPr>
          <w:rFonts w:hint="eastAsia"/>
          <w:color w:val="000000"/>
          <w:sz w:val="24"/>
        </w:rPr>
        <w:t>111</w:t>
      </w:r>
      <w:r w:rsidR="0047621D" w:rsidRPr="0047621D">
        <w:rPr>
          <w:color w:val="000000"/>
          <w:sz w:val="24"/>
        </w:rPr>
        <w:t>座车站（含既有上海</w:t>
      </w:r>
      <w:r w:rsidR="0047621D" w:rsidRPr="0047621D">
        <w:rPr>
          <w:color w:val="000000"/>
          <w:sz w:val="24"/>
        </w:rPr>
        <w:t>11</w:t>
      </w:r>
      <w:r w:rsidR="0047621D" w:rsidRPr="0047621D">
        <w:rPr>
          <w:color w:val="000000"/>
          <w:sz w:val="24"/>
        </w:rPr>
        <w:t>号线花桥段</w:t>
      </w:r>
      <w:r w:rsidR="0047621D" w:rsidRPr="0047621D">
        <w:rPr>
          <w:color w:val="000000"/>
          <w:sz w:val="24"/>
        </w:rPr>
        <w:t>3</w:t>
      </w:r>
      <w:r w:rsidR="0047621D" w:rsidRPr="0047621D">
        <w:rPr>
          <w:color w:val="000000"/>
          <w:sz w:val="24"/>
        </w:rPr>
        <w:t>座车站）。其中地下线长</w:t>
      </w:r>
      <w:r w:rsidR="0047621D" w:rsidRPr="0047621D">
        <w:rPr>
          <w:rFonts w:hint="eastAsia"/>
          <w:color w:val="000000"/>
          <w:sz w:val="24"/>
        </w:rPr>
        <w:t>141.7</w:t>
      </w:r>
      <w:r w:rsidR="0047621D" w:rsidRPr="0047621D">
        <w:rPr>
          <w:color w:val="000000"/>
          <w:sz w:val="24"/>
        </w:rPr>
        <w:t>km</w:t>
      </w:r>
      <w:r w:rsidR="0047621D" w:rsidRPr="0047621D">
        <w:rPr>
          <w:color w:val="000000"/>
          <w:sz w:val="24"/>
        </w:rPr>
        <w:t>，高架线长</w:t>
      </w:r>
      <w:r w:rsidR="0047621D" w:rsidRPr="0047621D">
        <w:rPr>
          <w:rFonts w:hint="eastAsia"/>
          <w:color w:val="000000"/>
          <w:sz w:val="24"/>
        </w:rPr>
        <w:t>6.37</w:t>
      </w:r>
      <w:r w:rsidR="0047621D" w:rsidRPr="0047621D">
        <w:rPr>
          <w:color w:val="000000"/>
          <w:sz w:val="24"/>
        </w:rPr>
        <w:t>km</w:t>
      </w:r>
      <w:r w:rsidR="0047621D" w:rsidRPr="0047621D">
        <w:rPr>
          <w:color w:val="000000"/>
          <w:sz w:val="24"/>
        </w:rPr>
        <w:t>，过渡段长</w:t>
      </w:r>
      <w:r w:rsidR="0047621D" w:rsidRPr="0047621D">
        <w:rPr>
          <w:rFonts w:hint="eastAsia"/>
          <w:color w:val="000000"/>
          <w:sz w:val="24"/>
        </w:rPr>
        <w:t>0.43</w:t>
      </w:r>
      <w:r w:rsidR="0047621D" w:rsidRPr="0047621D">
        <w:rPr>
          <w:color w:val="000000"/>
          <w:sz w:val="24"/>
        </w:rPr>
        <w:t>km</w:t>
      </w:r>
      <w:r w:rsidR="0047621D" w:rsidRPr="0047621D">
        <w:rPr>
          <w:color w:val="000000"/>
          <w:sz w:val="24"/>
        </w:rPr>
        <w:t>，地下站</w:t>
      </w:r>
      <w:r w:rsidR="0047621D" w:rsidRPr="0047621D">
        <w:rPr>
          <w:rFonts w:hint="eastAsia"/>
          <w:color w:val="000000"/>
          <w:sz w:val="24"/>
        </w:rPr>
        <w:t>107</w:t>
      </w:r>
      <w:r w:rsidR="0047621D" w:rsidRPr="0047621D">
        <w:rPr>
          <w:color w:val="000000"/>
          <w:sz w:val="24"/>
        </w:rPr>
        <w:t>座，高架站</w:t>
      </w:r>
      <w:r w:rsidR="0047621D" w:rsidRPr="0047621D">
        <w:rPr>
          <w:rFonts w:hint="eastAsia"/>
          <w:color w:val="000000"/>
          <w:sz w:val="24"/>
        </w:rPr>
        <w:t>4</w:t>
      </w:r>
      <w:r w:rsidR="0047621D" w:rsidRPr="0047621D">
        <w:rPr>
          <w:color w:val="000000"/>
          <w:sz w:val="24"/>
        </w:rPr>
        <w:t>座</w:t>
      </w:r>
      <w:r w:rsidR="0047621D" w:rsidRPr="0047621D">
        <w:rPr>
          <w:rFonts w:hint="eastAsia"/>
          <w:color w:val="000000"/>
          <w:sz w:val="24"/>
        </w:rPr>
        <w:t>（</w:t>
      </w:r>
      <w:r w:rsidR="0047621D" w:rsidRPr="0047621D">
        <w:rPr>
          <w:color w:val="000000"/>
          <w:sz w:val="24"/>
        </w:rPr>
        <w:t>含既有上海</w:t>
      </w:r>
      <w:r w:rsidR="0047621D" w:rsidRPr="0047621D">
        <w:rPr>
          <w:color w:val="000000"/>
          <w:sz w:val="24"/>
        </w:rPr>
        <w:t>11</w:t>
      </w:r>
      <w:r w:rsidR="0047621D" w:rsidRPr="0047621D">
        <w:rPr>
          <w:color w:val="000000"/>
          <w:sz w:val="24"/>
        </w:rPr>
        <w:t>号线花桥段线路</w:t>
      </w:r>
      <w:r w:rsidR="0047621D" w:rsidRPr="0047621D">
        <w:rPr>
          <w:rFonts w:hint="eastAsia"/>
          <w:color w:val="000000"/>
          <w:sz w:val="24"/>
        </w:rPr>
        <w:t>的</w:t>
      </w:r>
      <w:r w:rsidR="0047621D" w:rsidRPr="0047621D">
        <w:rPr>
          <w:rFonts w:hint="eastAsia"/>
          <w:color w:val="000000"/>
          <w:sz w:val="24"/>
        </w:rPr>
        <w:t>3</w:t>
      </w:r>
      <w:r w:rsidR="0047621D" w:rsidRPr="0047621D">
        <w:rPr>
          <w:rFonts w:hint="eastAsia"/>
          <w:color w:val="000000"/>
          <w:sz w:val="24"/>
        </w:rPr>
        <w:t>座高架站）</w:t>
      </w:r>
      <w:r w:rsidR="0047621D" w:rsidRPr="0047621D">
        <w:rPr>
          <w:color w:val="000000"/>
          <w:sz w:val="24"/>
        </w:rPr>
        <w:t>。</w:t>
      </w:r>
      <w:r w:rsidR="0047621D" w:rsidRPr="0047621D">
        <w:rPr>
          <w:color w:val="000000"/>
          <w:sz w:val="24"/>
        </w:rPr>
        <w:t>6 </w:t>
      </w:r>
      <w:r w:rsidR="0047621D" w:rsidRPr="0047621D">
        <w:rPr>
          <w:color w:val="000000"/>
          <w:sz w:val="24"/>
        </w:rPr>
        <w:t>号线（苏州新区站至星华街站，全长</w:t>
      </w:r>
      <w:r w:rsidR="0047621D" w:rsidRPr="0047621D">
        <w:rPr>
          <w:color w:val="000000"/>
          <w:sz w:val="24"/>
        </w:rPr>
        <w:t> 34.2km</w:t>
      </w:r>
      <w:r w:rsidR="0047621D" w:rsidRPr="0047621D">
        <w:rPr>
          <w:color w:val="000000"/>
          <w:sz w:val="24"/>
        </w:rPr>
        <w:t>）、</w:t>
      </w:r>
      <w:r w:rsidR="0047621D" w:rsidRPr="0047621D">
        <w:rPr>
          <w:color w:val="000000"/>
          <w:sz w:val="24"/>
        </w:rPr>
        <w:t>7</w:t>
      </w:r>
      <w:r w:rsidR="0047621D" w:rsidRPr="0047621D">
        <w:rPr>
          <w:color w:val="000000"/>
          <w:sz w:val="24"/>
        </w:rPr>
        <w:t>号线（北段：相城大道站至红庄站，全长</w:t>
      </w:r>
      <w:r w:rsidR="0047621D" w:rsidRPr="0047621D">
        <w:rPr>
          <w:color w:val="000000"/>
          <w:sz w:val="24"/>
        </w:rPr>
        <w:t> 27km</w:t>
      </w:r>
      <w:r w:rsidR="0047621D" w:rsidRPr="0047621D">
        <w:rPr>
          <w:color w:val="000000"/>
          <w:sz w:val="24"/>
        </w:rPr>
        <w:t>；南段：龙翔路站至泾南路站，全长</w:t>
      </w:r>
      <w:r w:rsidR="0047621D" w:rsidRPr="0047621D">
        <w:rPr>
          <w:color w:val="000000"/>
          <w:sz w:val="24"/>
        </w:rPr>
        <w:t>6.4km</w:t>
      </w:r>
      <w:r w:rsidR="0047621D" w:rsidRPr="0047621D">
        <w:rPr>
          <w:color w:val="000000"/>
          <w:sz w:val="24"/>
        </w:rPr>
        <w:t>）、</w:t>
      </w:r>
      <w:r w:rsidR="0047621D" w:rsidRPr="0047621D">
        <w:rPr>
          <w:color w:val="000000"/>
          <w:sz w:val="24"/>
        </w:rPr>
        <w:t>8 </w:t>
      </w:r>
      <w:r w:rsidR="0047621D" w:rsidRPr="0047621D">
        <w:rPr>
          <w:color w:val="000000"/>
          <w:sz w:val="24"/>
        </w:rPr>
        <w:t>号线（华山路站至车坊站，全长</w:t>
      </w:r>
      <w:r w:rsidR="0047621D" w:rsidRPr="0047621D">
        <w:rPr>
          <w:color w:val="000000"/>
          <w:sz w:val="24"/>
        </w:rPr>
        <w:t> 35.2km</w:t>
      </w:r>
      <w:r w:rsidR="0047621D" w:rsidRPr="0047621D">
        <w:rPr>
          <w:color w:val="000000"/>
          <w:sz w:val="24"/>
        </w:rPr>
        <w:t>）、市域</w:t>
      </w:r>
      <w:r w:rsidR="0047621D" w:rsidRPr="0047621D">
        <w:rPr>
          <w:rFonts w:hint="eastAsia"/>
          <w:color w:val="000000"/>
          <w:sz w:val="24"/>
        </w:rPr>
        <w:t>轨道交通</w:t>
      </w:r>
      <w:r w:rsidR="0047621D" w:rsidRPr="0047621D">
        <w:rPr>
          <w:color w:val="000000"/>
          <w:sz w:val="24"/>
        </w:rPr>
        <w:t>S1</w:t>
      </w:r>
      <w:r w:rsidR="0047621D" w:rsidRPr="0047621D">
        <w:rPr>
          <w:color w:val="000000"/>
          <w:sz w:val="24"/>
        </w:rPr>
        <w:t>线一期工程（</w:t>
      </w:r>
      <w:r w:rsidR="0047621D" w:rsidRPr="0047621D">
        <w:rPr>
          <w:rFonts w:hint="eastAsia"/>
          <w:color w:val="000000"/>
          <w:sz w:val="24"/>
        </w:rPr>
        <w:t>夷亭路站</w:t>
      </w:r>
      <w:r w:rsidR="0047621D" w:rsidRPr="0047621D">
        <w:rPr>
          <w:color w:val="000000"/>
          <w:sz w:val="24"/>
        </w:rPr>
        <w:t>至兆丰路站，全长</w:t>
      </w:r>
      <w:r w:rsidR="0047621D" w:rsidRPr="0047621D">
        <w:rPr>
          <w:rFonts w:hint="eastAsia"/>
          <w:color w:val="000000"/>
          <w:sz w:val="24"/>
        </w:rPr>
        <w:t>45.</w:t>
      </w:r>
      <w:r w:rsidR="009D7EBD">
        <w:rPr>
          <w:rFonts w:hint="eastAsia"/>
          <w:color w:val="000000"/>
          <w:sz w:val="24"/>
        </w:rPr>
        <w:t>7</w:t>
      </w:r>
      <w:r w:rsidR="009D7EBD" w:rsidRPr="0047621D">
        <w:rPr>
          <w:color w:val="000000"/>
          <w:sz w:val="24"/>
        </w:rPr>
        <w:t>km</w:t>
      </w:r>
      <w:r w:rsidR="0047621D" w:rsidRPr="0047621D">
        <w:rPr>
          <w:color w:val="000000"/>
          <w:sz w:val="24"/>
        </w:rPr>
        <w:t>，</w:t>
      </w:r>
      <w:r w:rsidR="0047621D" w:rsidRPr="0047621D">
        <w:rPr>
          <w:color w:val="000000"/>
          <w:sz w:val="24"/>
        </w:rPr>
        <w:t>3</w:t>
      </w:r>
      <w:r w:rsidR="0047621D" w:rsidRPr="0047621D">
        <w:rPr>
          <w:rFonts w:hint="eastAsia"/>
          <w:color w:val="000000"/>
          <w:sz w:val="24"/>
        </w:rPr>
        <w:t>0</w:t>
      </w:r>
      <w:r w:rsidR="0047621D" w:rsidRPr="0047621D">
        <w:rPr>
          <w:color w:val="000000"/>
          <w:sz w:val="24"/>
        </w:rPr>
        <w:t>个车站。其中新建线路长</w:t>
      </w:r>
      <w:r w:rsidR="0047621D" w:rsidRPr="0047621D">
        <w:rPr>
          <w:rFonts w:hint="eastAsia"/>
          <w:color w:val="000000"/>
          <w:sz w:val="24"/>
        </w:rPr>
        <w:t>40.6</w:t>
      </w:r>
      <w:r w:rsidR="0047621D" w:rsidRPr="0047621D">
        <w:rPr>
          <w:color w:val="000000"/>
          <w:sz w:val="24"/>
        </w:rPr>
        <w:t>km</w:t>
      </w:r>
      <w:r w:rsidR="0047621D" w:rsidRPr="0047621D">
        <w:rPr>
          <w:color w:val="000000"/>
          <w:sz w:val="24"/>
        </w:rPr>
        <w:t>，设站</w:t>
      </w:r>
      <w:r w:rsidR="0047621D" w:rsidRPr="0047621D">
        <w:rPr>
          <w:rFonts w:hint="eastAsia"/>
          <w:color w:val="000000"/>
          <w:sz w:val="24"/>
        </w:rPr>
        <w:t>27</w:t>
      </w:r>
      <w:r w:rsidR="0047621D" w:rsidRPr="0047621D">
        <w:rPr>
          <w:color w:val="000000"/>
          <w:sz w:val="24"/>
        </w:rPr>
        <w:t>座）。</w:t>
      </w:r>
    </w:p>
    <w:p w:rsidR="0047621D" w:rsidRPr="0047621D" w:rsidRDefault="0047621D" w:rsidP="00C97ABA">
      <w:pPr>
        <w:spacing w:beforeLines="20" w:afterLines="20" w:line="400" w:lineRule="exact"/>
        <w:ind w:firstLineChars="196" w:firstLine="470"/>
        <w:rPr>
          <w:color w:val="000000"/>
          <w:sz w:val="24"/>
        </w:rPr>
      </w:pPr>
      <w:r w:rsidRPr="0047621D">
        <w:rPr>
          <w:color w:val="000000"/>
          <w:sz w:val="24"/>
        </w:rPr>
        <w:t>根据《苏州市城市轨道交通线网规划》，线网规划中</w:t>
      </w:r>
      <w:r w:rsidR="0009299D">
        <w:rPr>
          <w:rFonts w:hint="eastAsia"/>
          <w:color w:val="000000"/>
          <w:sz w:val="24"/>
        </w:rPr>
        <w:t>已批复</w:t>
      </w:r>
      <w:r w:rsidRPr="0047621D">
        <w:rPr>
          <w:color w:val="000000"/>
          <w:sz w:val="24"/>
        </w:rPr>
        <w:t>线路均已进行了环评或者规划环评，因此，</w:t>
      </w:r>
      <w:r w:rsidR="006B2879">
        <w:rPr>
          <w:rFonts w:hint="eastAsia"/>
          <w:color w:val="000000"/>
          <w:sz w:val="24"/>
        </w:rPr>
        <w:t>本次</w:t>
      </w:r>
      <w:r w:rsidR="00A22F48">
        <w:rPr>
          <w:rFonts w:hint="eastAsia"/>
          <w:color w:val="000000"/>
          <w:sz w:val="24"/>
        </w:rPr>
        <w:t>线网规划环境影响评价</w:t>
      </w:r>
      <w:r w:rsidR="006B2879">
        <w:rPr>
          <w:rFonts w:hint="eastAsia"/>
          <w:color w:val="000000"/>
          <w:sz w:val="24"/>
        </w:rPr>
        <w:t>范围</w:t>
      </w:r>
      <w:r w:rsidRPr="0047621D">
        <w:rPr>
          <w:color w:val="000000"/>
          <w:sz w:val="24"/>
        </w:rPr>
        <w:t>为</w:t>
      </w:r>
      <w:r w:rsidRPr="0047621D">
        <w:rPr>
          <w:rFonts w:hint="eastAsia"/>
          <w:color w:val="000000"/>
          <w:sz w:val="24"/>
        </w:rPr>
        <w:t>1</w:t>
      </w:r>
      <w:r w:rsidR="00CF70BE">
        <w:rPr>
          <w:rFonts w:hint="eastAsia"/>
          <w:color w:val="000000"/>
          <w:sz w:val="24"/>
        </w:rPr>
        <w:t>号线延伸线（钟</w:t>
      </w:r>
      <w:r w:rsidRPr="0047621D">
        <w:rPr>
          <w:rFonts w:hint="eastAsia"/>
          <w:color w:val="000000"/>
          <w:sz w:val="24"/>
        </w:rPr>
        <w:t>南街站</w:t>
      </w:r>
      <w:r w:rsidRPr="0047621D">
        <w:rPr>
          <w:rFonts w:hint="eastAsia"/>
          <w:color w:val="000000"/>
          <w:sz w:val="24"/>
        </w:rPr>
        <w:t>~</w:t>
      </w:r>
      <w:r w:rsidRPr="0047621D">
        <w:rPr>
          <w:rFonts w:hint="eastAsia"/>
          <w:color w:val="000000"/>
          <w:sz w:val="24"/>
        </w:rPr>
        <w:t>界浦路站，</w:t>
      </w:r>
      <w:r w:rsidRPr="0047621D">
        <w:rPr>
          <w:rFonts w:hint="eastAsia"/>
          <w:color w:val="000000"/>
          <w:sz w:val="24"/>
        </w:rPr>
        <w:t>8.3km</w:t>
      </w:r>
      <w:r w:rsidRPr="0047621D">
        <w:rPr>
          <w:rFonts w:hint="eastAsia"/>
          <w:color w:val="000000"/>
          <w:sz w:val="24"/>
        </w:rPr>
        <w:t>）、</w:t>
      </w:r>
      <w:r w:rsidRPr="0047621D">
        <w:rPr>
          <w:color w:val="000000"/>
          <w:sz w:val="24"/>
        </w:rPr>
        <w:t>6</w:t>
      </w:r>
      <w:r w:rsidRPr="0047621D">
        <w:rPr>
          <w:color w:val="000000"/>
          <w:sz w:val="24"/>
        </w:rPr>
        <w:t>号线延伸线（桑田岛</w:t>
      </w:r>
      <w:r w:rsidRPr="0047621D">
        <w:rPr>
          <w:rFonts w:hint="eastAsia"/>
          <w:color w:val="000000"/>
          <w:sz w:val="24"/>
        </w:rPr>
        <w:t>站</w:t>
      </w:r>
      <w:r w:rsidRPr="0047621D">
        <w:rPr>
          <w:color w:val="000000"/>
          <w:sz w:val="24"/>
        </w:rPr>
        <w:t>~</w:t>
      </w:r>
      <w:r w:rsidRPr="0047621D">
        <w:rPr>
          <w:color w:val="000000"/>
          <w:sz w:val="24"/>
        </w:rPr>
        <w:t>甪直</w:t>
      </w:r>
      <w:r w:rsidRPr="0047621D">
        <w:rPr>
          <w:rFonts w:hint="eastAsia"/>
          <w:color w:val="000000"/>
          <w:sz w:val="24"/>
        </w:rPr>
        <w:t>站</w:t>
      </w:r>
      <w:r w:rsidRPr="0047621D">
        <w:rPr>
          <w:color w:val="000000"/>
          <w:sz w:val="24"/>
        </w:rPr>
        <w:t>，</w:t>
      </w:r>
      <w:r w:rsidR="00F05FBF">
        <w:rPr>
          <w:rFonts w:hint="eastAsia"/>
          <w:color w:val="000000"/>
          <w:sz w:val="24"/>
        </w:rPr>
        <w:t>9.6</w:t>
      </w:r>
      <w:r w:rsidRPr="0047621D">
        <w:rPr>
          <w:color w:val="000000"/>
          <w:sz w:val="24"/>
        </w:rPr>
        <w:t>km</w:t>
      </w:r>
      <w:r w:rsidRPr="0047621D">
        <w:rPr>
          <w:color w:val="000000"/>
          <w:sz w:val="24"/>
        </w:rPr>
        <w:t>），</w:t>
      </w:r>
      <w:r w:rsidRPr="0047621D">
        <w:rPr>
          <w:rFonts w:hint="eastAsia"/>
          <w:color w:val="000000"/>
          <w:sz w:val="24"/>
        </w:rPr>
        <w:t>7</w:t>
      </w:r>
      <w:r w:rsidRPr="0047621D">
        <w:rPr>
          <w:rFonts w:hint="eastAsia"/>
          <w:color w:val="000000"/>
          <w:sz w:val="24"/>
        </w:rPr>
        <w:t>号线延伸线（</w:t>
      </w:r>
      <w:r w:rsidR="0029538A">
        <w:rPr>
          <w:rFonts w:hint="eastAsia"/>
          <w:color w:val="000000"/>
          <w:sz w:val="24"/>
        </w:rPr>
        <w:t>华阳路</w:t>
      </w:r>
      <w:r w:rsidRPr="0047621D">
        <w:rPr>
          <w:rFonts w:hint="eastAsia"/>
          <w:color w:val="000000"/>
          <w:sz w:val="24"/>
        </w:rPr>
        <w:t>站</w:t>
      </w:r>
      <w:r w:rsidRPr="0047621D">
        <w:rPr>
          <w:rFonts w:hint="eastAsia"/>
          <w:color w:val="000000"/>
          <w:sz w:val="24"/>
        </w:rPr>
        <w:t>~</w:t>
      </w:r>
      <w:r w:rsidRPr="0047621D">
        <w:rPr>
          <w:rFonts w:hint="eastAsia"/>
          <w:color w:val="000000"/>
          <w:sz w:val="24"/>
        </w:rPr>
        <w:t>相城大道北站，</w:t>
      </w:r>
      <w:r w:rsidR="0029538A">
        <w:rPr>
          <w:rFonts w:hint="eastAsia"/>
          <w:color w:val="000000"/>
          <w:sz w:val="24"/>
        </w:rPr>
        <w:t>6.7</w:t>
      </w:r>
      <w:r w:rsidRPr="0047621D">
        <w:rPr>
          <w:rFonts w:hint="eastAsia"/>
          <w:color w:val="000000"/>
          <w:sz w:val="24"/>
        </w:rPr>
        <w:t>km</w:t>
      </w:r>
      <w:r w:rsidRPr="0047621D">
        <w:rPr>
          <w:rFonts w:hint="eastAsia"/>
          <w:color w:val="000000"/>
          <w:sz w:val="24"/>
        </w:rPr>
        <w:t>）、</w:t>
      </w:r>
      <w:r w:rsidRPr="0047621D">
        <w:rPr>
          <w:color w:val="000000"/>
          <w:sz w:val="24"/>
        </w:rPr>
        <w:t>9</w:t>
      </w:r>
      <w:r w:rsidRPr="0047621D">
        <w:rPr>
          <w:color w:val="000000"/>
          <w:sz w:val="24"/>
        </w:rPr>
        <w:t>号线（</w:t>
      </w:r>
      <w:r w:rsidRPr="0047621D">
        <w:rPr>
          <w:rFonts w:hint="eastAsia"/>
          <w:color w:val="000000"/>
          <w:sz w:val="24"/>
        </w:rPr>
        <w:t>光福</w:t>
      </w:r>
      <w:r w:rsidRPr="0047621D">
        <w:rPr>
          <w:color w:val="000000"/>
          <w:sz w:val="24"/>
        </w:rPr>
        <w:t>站</w:t>
      </w:r>
      <w:r w:rsidRPr="0047621D">
        <w:rPr>
          <w:color w:val="000000"/>
          <w:sz w:val="24"/>
        </w:rPr>
        <w:t>~</w:t>
      </w:r>
      <w:r w:rsidRPr="0047621D">
        <w:rPr>
          <w:rFonts w:hint="eastAsia"/>
          <w:color w:val="000000"/>
          <w:sz w:val="24"/>
        </w:rPr>
        <w:t>阳澄湖度假区</w:t>
      </w:r>
      <w:r w:rsidRPr="0047621D">
        <w:rPr>
          <w:color w:val="000000"/>
          <w:sz w:val="24"/>
        </w:rPr>
        <w:t>站，约</w:t>
      </w:r>
      <w:r w:rsidRPr="0047621D">
        <w:rPr>
          <w:color w:val="000000"/>
          <w:sz w:val="24"/>
        </w:rPr>
        <w:t>54km</w:t>
      </w:r>
      <w:r w:rsidRPr="0047621D">
        <w:rPr>
          <w:color w:val="000000"/>
          <w:sz w:val="24"/>
        </w:rPr>
        <w:t>），</w:t>
      </w:r>
      <w:r w:rsidR="00A22F48">
        <w:rPr>
          <w:rFonts w:hint="eastAsia"/>
          <w:color w:val="000000"/>
          <w:sz w:val="24"/>
        </w:rPr>
        <w:t>环境影响</w:t>
      </w:r>
      <w:r w:rsidRPr="0047621D">
        <w:rPr>
          <w:color w:val="000000"/>
          <w:sz w:val="24"/>
        </w:rPr>
        <w:t>评价对象全长</w:t>
      </w:r>
      <w:r w:rsidR="0029538A">
        <w:rPr>
          <w:rFonts w:hint="eastAsia"/>
          <w:color w:val="000000"/>
          <w:sz w:val="24"/>
        </w:rPr>
        <w:t>78.6</w:t>
      </w:r>
      <w:r w:rsidRPr="0047621D">
        <w:rPr>
          <w:color w:val="000000"/>
          <w:sz w:val="24"/>
        </w:rPr>
        <w:t>km</w:t>
      </w:r>
      <w:r w:rsidRPr="0047621D">
        <w:rPr>
          <w:color w:val="000000"/>
          <w:sz w:val="24"/>
        </w:rPr>
        <w:t>。</w:t>
      </w:r>
    </w:p>
    <w:p w:rsidR="007F5FC0" w:rsidRPr="00A22F48" w:rsidRDefault="007F5FC0" w:rsidP="00C97ABA">
      <w:pPr>
        <w:spacing w:beforeLines="20" w:afterLines="20" w:line="400" w:lineRule="exact"/>
        <w:ind w:firstLineChars="196" w:firstLine="470"/>
        <w:rPr>
          <w:color w:val="000000"/>
          <w:sz w:val="24"/>
        </w:rPr>
      </w:pPr>
    </w:p>
    <w:p w:rsidR="00491934" w:rsidRPr="000E6AB2" w:rsidRDefault="000E6AB2" w:rsidP="00491934">
      <w:pPr>
        <w:pStyle w:val="1"/>
        <w:numPr>
          <w:ilvl w:val="0"/>
          <w:numId w:val="1"/>
        </w:numPr>
        <w:tabs>
          <w:tab w:val="clear" w:pos="3365"/>
          <w:tab w:val="num" w:pos="0"/>
        </w:tabs>
        <w:ind w:left="0" w:firstLine="0"/>
        <w:rPr>
          <w:sz w:val="24"/>
          <w:szCs w:val="24"/>
        </w:rPr>
      </w:pPr>
      <w:bookmarkStart w:id="5" w:name="_Toc218759236"/>
      <w:bookmarkStart w:id="6" w:name="_Toc320187535"/>
      <w:bookmarkStart w:id="7" w:name="_Toc320187768"/>
      <w:bookmarkStart w:id="8" w:name="_Toc320188375"/>
      <w:bookmarkStart w:id="9" w:name="_Toc321685585"/>
      <w:bookmarkStart w:id="10" w:name="_Toc321685854"/>
      <w:bookmarkStart w:id="11" w:name="_Toc321686123"/>
      <w:bookmarkStart w:id="12" w:name="_Toc326507648"/>
      <w:bookmarkStart w:id="13" w:name="_Toc349723653"/>
      <w:r>
        <w:rPr>
          <w:rFonts w:hint="eastAsia"/>
          <w:sz w:val="24"/>
          <w:szCs w:val="24"/>
        </w:rPr>
        <w:t>环境影响</w:t>
      </w:r>
      <w:r w:rsidRPr="000E6AB2">
        <w:rPr>
          <w:rFonts w:hint="eastAsia"/>
          <w:sz w:val="24"/>
          <w:szCs w:val="24"/>
        </w:rPr>
        <w:t>评价主要结论</w:t>
      </w:r>
      <w:bookmarkEnd w:id="5"/>
      <w:bookmarkEnd w:id="6"/>
      <w:bookmarkEnd w:id="7"/>
      <w:bookmarkEnd w:id="8"/>
      <w:bookmarkEnd w:id="9"/>
      <w:bookmarkEnd w:id="10"/>
      <w:bookmarkEnd w:id="11"/>
      <w:bookmarkEnd w:id="12"/>
      <w:bookmarkEnd w:id="13"/>
    </w:p>
    <w:p w:rsidR="00096EDD" w:rsidRPr="00096EDD" w:rsidRDefault="00096EDD" w:rsidP="00C97ABA">
      <w:pPr>
        <w:pStyle w:val="2"/>
        <w:numPr>
          <w:ilvl w:val="1"/>
          <w:numId w:val="1"/>
        </w:numPr>
        <w:tabs>
          <w:tab w:val="num" w:pos="5813"/>
        </w:tabs>
        <w:spacing w:beforeLines="50" w:afterLines="50" w:line="240" w:lineRule="auto"/>
        <w:ind w:left="0" w:firstLine="0"/>
        <w:rPr>
          <w:rFonts w:ascii="Times New Roman" w:hAnsi="Times New Roman"/>
          <w:color w:val="000000"/>
          <w:sz w:val="24"/>
          <w:szCs w:val="24"/>
        </w:rPr>
      </w:pPr>
      <w:bookmarkStart w:id="14" w:name="_Toc349723654"/>
      <w:r w:rsidRPr="00E33A10">
        <w:rPr>
          <w:rStyle w:val="a7"/>
          <w:rFonts w:ascii="Times New Roman" w:hAnsi="Times New Roman" w:hint="eastAsia"/>
          <w:color w:val="000000"/>
          <w:sz w:val="24"/>
          <w:szCs w:val="24"/>
        </w:rPr>
        <w:t>声环境影响分析与评价</w:t>
      </w:r>
      <w:bookmarkEnd w:id="14"/>
    </w:p>
    <w:p w:rsidR="00096EDD" w:rsidRPr="00096EDD" w:rsidRDefault="00096EDD" w:rsidP="00C97ABA">
      <w:pPr>
        <w:spacing w:beforeLines="20" w:afterLines="20" w:line="400" w:lineRule="exact"/>
        <w:ind w:firstLineChars="196" w:firstLine="470"/>
        <w:rPr>
          <w:color w:val="000000"/>
          <w:sz w:val="24"/>
        </w:rPr>
      </w:pPr>
      <w:r w:rsidRPr="00E33A10">
        <w:rPr>
          <w:rFonts w:hint="eastAsia"/>
          <w:color w:val="000000"/>
          <w:sz w:val="24"/>
        </w:rPr>
        <w:t>从声环境保护的角度，部分高架线周围分布着噪声敏感建筑物，须采取道床减振、设置声屏障等综合环境保护措施降低轨道交通对沿线声环境敏感区的影响。只要在设计阶段合理选择设备的位置、型号，并辅以风道消声器及隔声措施，风亭、冷却塔噪声可控制到可接受水平。车辆段与停车场内检修、洗车等作业噪声，只要合理布局，厂界噪声一般可满足</w:t>
      </w:r>
      <w:r w:rsidRPr="00E33A10">
        <w:rPr>
          <w:rFonts w:hint="eastAsia"/>
          <w:color w:val="000000"/>
          <w:sz w:val="24"/>
        </w:rPr>
        <w:t>2</w:t>
      </w:r>
      <w:r w:rsidRPr="00E33A10">
        <w:rPr>
          <w:rFonts w:hint="eastAsia"/>
          <w:color w:val="000000"/>
          <w:sz w:val="24"/>
        </w:rPr>
        <w:t>类区厂界标准。</w:t>
      </w:r>
    </w:p>
    <w:p w:rsidR="00096EDD" w:rsidRPr="00096EDD" w:rsidRDefault="00096EDD" w:rsidP="00C97ABA">
      <w:pPr>
        <w:pStyle w:val="2"/>
        <w:numPr>
          <w:ilvl w:val="1"/>
          <w:numId w:val="1"/>
        </w:numPr>
        <w:tabs>
          <w:tab w:val="num" w:pos="5813"/>
        </w:tabs>
        <w:spacing w:beforeLines="50" w:afterLines="50" w:line="240" w:lineRule="auto"/>
        <w:ind w:left="0" w:firstLine="0"/>
        <w:rPr>
          <w:rFonts w:ascii="Times New Roman" w:hAnsi="Times New Roman"/>
          <w:color w:val="000000"/>
          <w:sz w:val="24"/>
          <w:szCs w:val="24"/>
        </w:rPr>
      </w:pPr>
      <w:bookmarkStart w:id="15" w:name="_Toc349723655"/>
      <w:r w:rsidRPr="00E33A10">
        <w:rPr>
          <w:rStyle w:val="a7"/>
          <w:rFonts w:ascii="Times New Roman" w:hAnsi="Times New Roman" w:hint="eastAsia"/>
          <w:color w:val="000000"/>
          <w:sz w:val="24"/>
          <w:szCs w:val="24"/>
        </w:rPr>
        <w:t>振动环境影响分析与评价</w:t>
      </w:r>
      <w:bookmarkEnd w:id="15"/>
    </w:p>
    <w:p w:rsidR="00096EDD" w:rsidRPr="00096EDD" w:rsidRDefault="003C17A7" w:rsidP="00C97ABA">
      <w:pPr>
        <w:spacing w:beforeLines="20" w:afterLines="20" w:line="400" w:lineRule="exact"/>
        <w:ind w:firstLineChars="196" w:firstLine="470"/>
        <w:rPr>
          <w:color w:val="000000"/>
          <w:sz w:val="24"/>
        </w:rPr>
      </w:pPr>
      <w:r>
        <w:rPr>
          <w:rFonts w:hint="eastAsia"/>
          <w:color w:val="000000"/>
          <w:sz w:val="24"/>
        </w:rPr>
        <w:t>（</w:t>
      </w:r>
      <w:r>
        <w:rPr>
          <w:rFonts w:hint="eastAsia"/>
          <w:color w:val="000000"/>
          <w:sz w:val="24"/>
        </w:rPr>
        <w:t>1</w:t>
      </w:r>
      <w:r>
        <w:rPr>
          <w:rFonts w:hint="eastAsia"/>
          <w:color w:val="000000"/>
          <w:sz w:val="24"/>
        </w:rPr>
        <w:t>）</w:t>
      </w:r>
      <w:r w:rsidR="00096EDD" w:rsidRPr="00096EDD">
        <w:rPr>
          <w:color w:val="000000"/>
          <w:sz w:val="24"/>
        </w:rPr>
        <w:t>虽然地下线路的振动影响较突出，且沿线的既有或规划敏感建筑相对集中，但由于地铁振动的污染振动治理措施较为成熟，在规划实施中可根据</w:t>
      </w:r>
      <w:r w:rsidR="00096EDD" w:rsidRPr="00096EDD">
        <w:rPr>
          <w:rFonts w:hint="eastAsia"/>
          <w:color w:val="000000"/>
          <w:sz w:val="24"/>
        </w:rPr>
        <w:t>沿线建设情况</w:t>
      </w:r>
      <w:r w:rsidR="00304193">
        <w:rPr>
          <w:rFonts w:hint="eastAsia"/>
          <w:color w:val="000000"/>
          <w:sz w:val="24"/>
        </w:rPr>
        <w:t>，</w:t>
      </w:r>
      <w:r w:rsidR="00096EDD" w:rsidRPr="00096EDD">
        <w:rPr>
          <w:color w:val="000000"/>
          <w:sz w:val="24"/>
        </w:rPr>
        <w:t>对待开发区域</w:t>
      </w:r>
      <w:r w:rsidR="00304193">
        <w:rPr>
          <w:rFonts w:hint="eastAsia"/>
          <w:color w:val="000000"/>
          <w:sz w:val="24"/>
        </w:rPr>
        <w:t>的</w:t>
      </w:r>
      <w:r w:rsidR="00096EDD" w:rsidRPr="00096EDD">
        <w:rPr>
          <w:color w:val="000000"/>
          <w:sz w:val="24"/>
        </w:rPr>
        <w:t>轨道交通线路两侧进行空间用地控制，</w:t>
      </w:r>
      <w:r w:rsidR="00096EDD" w:rsidRPr="00096EDD">
        <w:rPr>
          <w:rFonts w:hint="eastAsia"/>
          <w:color w:val="000000"/>
          <w:sz w:val="24"/>
        </w:rPr>
        <w:t>必要时根据</w:t>
      </w:r>
      <w:r w:rsidR="00096EDD" w:rsidRPr="00096EDD">
        <w:rPr>
          <w:color w:val="000000"/>
          <w:sz w:val="24"/>
        </w:rPr>
        <w:t>具体振动影响的程度选择相应的治理措施</w:t>
      </w:r>
      <w:r w:rsidR="00096EDD" w:rsidRPr="00096EDD">
        <w:rPr>
          <w:rFonts w:hint="eastAsia"/>
          <w:color w:val="000000"/>
          <w:sz w:val="24"/>
        </w:rPr>
        <w:t>，</w:t>
      </w:r>
      <w:r w:rsidR="00096EDD" w:rsidRPr="00096EDD">
        <w:rPr>
          <w:color w:val="000000"/>
          <w:sz w:val="24"/>
        </w:rPr>
        <w:t>轨道交通振动影响一般不会成为建设规划实施的制约因素。</w:t>
      </w:r>
    </w:p>
    <w:p w:rsidR="00096EDD" w:rsidRPr="00096EDD" w:rsidRDefault="003C17A7" w:rsidP="00C97ABA">
      <w:pPr>
        <w:spacing w:beforeLines="20" w:afterLines="20" w:line="400" w:lineRule="exact"/>
        <w:ind w:firstLineChars="196" w:firstLine="470"/>
        <w:rPr>
          <w:color w:val="000000"/>
          <w:sz w:val="24"/>
        </w:rPr>
      </w:pPr>
      <w:r>
        <w:rPr>
          <w:rFonts w:hint="eastAsia"/>
          <w:color w:val="000000"/>
          <w:sz w:val="24"/>
        </w:rPr>
        <w:t>（</w:t>
      </w:r>
      <w:r>
        <w:rPr>
          <w:rFonts w:hint="eastAsia"/>
          <w:color w:val="000000"/>
          <w:sz w:val="24"/>
        </w:rPr>
        <w:t>2</w:t>
      </w:r>
      <w:r>
        <w:rPr>
          <w:rFonts w:hint="eastAsia"/>
          <w:color w:val="000000"/>
          <w:sz w:val="24"/>
        </w:rPr>
        <w:t>）</w:t>
      </w:r>
      <w:r w:rsidR="00096EDD" w:rsidRPr="00096EDD">
        <w:rPr>
          <w:rFonts w:hint="eastAsia"/>
          <w:color w:val="000000"/>
          <w:sz w:val="24"/>
        </w:rPr>
        <w:t>二次结构噪声源于轨道交通车辆与轨道的振动，降低轨道交通振动就可以相应减轻二次结构噪声影响，采取浮置板道床、弹性短轨枕等减振等措施也可以从根本上减轻二次结构噪声影响。</w:t>
      </w:r>
    </w:p>
    <w:p w:rsidR="00096EDD" w:rsidRPr="00096EDD" w:rsidRDefault="00096EDD" w:rsidP="00C97ABA">
      <w:pPr>
        <w:pStyle w:val="2"/>
        <w:numPr>
          <w:ilvl w:val="1"/>
          <w:numId w:val="1"/>
        </w:numPr>
        <w:tabs>
          <w:tab w:val="num" w:pos="5813"/>
        </w:tabs>
        <w:spacing w:beforeLines="50" w:afterLines="50" w:line="240" w:lineRule="auto"/>
        <w:ind w:left="0" w:firstLine="0"/>
        <w:rPr>
          <w:rFonts w:ascii="Times New Roman" w:hAnsi="Times New Roman"/>
          <w:color w:val="000000"/>
          <w:sz w:val="24"/>
          <w:szCs w:val="24"/>
        </w:rPr>
      </w:pPr>
      <w:bookmarkStart w:id="16" w:name="_Toc349723656"/>
      <w:r w:rsidRPr="00E33A10">
        <w:rPr>
          <w:rStyle w:val="a7"/>
          <w:rFonts w:ascii="Times New Roman" w:hAnsi="Times New Roman" w:hint="eastAsia"/>
          <w:color w:val="000000"/>
          <w:sz w:val="24"/>
          <w:szCs w:val="24"/>
        </w:rPr>
        <w:t>地表水环境影响分析与评价</w:t>
      </w:r>
      <w:bookmarkEnd w:id="16"/>
    </w:p>
    <w:p w:rsidR="00096EDD" w:rsidRPr="00096EDD" w:rsidRDefault="003C17A7" w:rsidP="00C97ABA">
      <w:pPr>
        <w:spacing w:beforeLines="20" w:afterLines="20" w:line="400" w:lineRule="exact"/>
        <w:ind w:firstLineChars="196" w:firstLine="470"/>
        <w:rPr>
          <w:color w:val="000000"/>
          <w:sz w:val="24"/>
        </w:rPr>
      </w:pPr>
      <w:r>
        <w:rPr>
          <w:rFonts w:hint="eastAsia"/>
          <w:color w:val="000000"/>
          <w:sz w:val="24"/>
        </w:rPr>
        <w:t>（</w:t>
      </w:r>
      <w:r>
        <w:rPr>
          <w:rFonts w:hint="eastAsia"/>
          <w:color w:val="000000"/>
          <w:sz w:val="24"/>
        </w:rPr>
        <w:t>1</w:t>
      </w:r>
      <w:r>
        <w:rPr>
          <w:rFonts w:hint="eastAsia"/>
          <w:color w:val="000000"/>
          <w:sz w:val="24"/>
        </w:rPr>
        <w:t>）</w:t>
      </w:r>
      <w:r w:rsidR="00096EDD" w:rsidRPr="00096EDD">
        <w:rPr>
          <w:rFonts w:hint="eastAsia"/>
          <w:color w:val="000000"/>
          <w:sz w:val="24"/>
        </w:rPr>
        <w:t>本规划实施期间，施工期污水主要来自轨道工程实施过程中产生的生产污水、生活污水及由地表径流导致的污染物入渗；轨道交通运营期污水主要来自于沿线车站、控制中心、停车场和车辆段排放生产废水和生活污水。</w:t>
      </w:r>
    </w:p>
    <w:p w:rsidR="00096EDD" w:rsidRPr="00096EDD" w:rsidRDefault="003C17A7" w:rsidP="00C97ABA">
      <w:pPr>
        <w:spacing w:beforeLines="20" w:afterLines="20" w:line="400" w:lineRule="exact"/>
        <w:ind w:firstLineChars="196" w:firstLine="470"/>
        <w:rPr>
          <w:color w:val="000000"/>
          <w:sz w:val="24"/>
        </w:rPr>
      </w:pPr>
      <w:r>
        <w:rPr>
          <w:rFonts w:hint="eastAsia"/>
          <w:color w:val="000000"/>
          <w:sz w:val="24"/>
        </w:rPr>
        <w:t>（</w:t>
      </w:r>
      <w:r>
        <w:rPr>
          <w:rFonts w:hint="eastAsia"/>
          <w:color w:val="000000"/>
          <w:sz w:val="24"/>
        </w:rPr>
        <w:t>2</w:t>
      </w:r>
      <w:r>
        <w:rPr>
          <w:rFonts w:hint="eastAsia"/>
          <w:color w:val="000000"/>
          <w:sz w:val="24"/>
        </w:rPr>
        <w:t>）</w:t>
      </w:r>
      <w:r w:rsidR="00096EDD" w:rsidRPr="00096EDD">
        <w:rPr>
          <w:rFonts w:hint="eastAsia"/>
          <w:color w:val="000000"/>
          <w:sz w:val="24"/>
        </w:rPr>
        <w:t>规划实施后，各站点、控制中心、车辆段及停车场排放的污水量占</w:t>
      </w:r>
      <w:r w:rsidR="001079F1">
        <w:rPr>
          <w:rFonts w:hint="eastAsia"/>
          <w:color w:val="000000"/>
          <w:sz w:val="24"/>
        </w:rPr>
        <w:t>苏州及昆山</w:t>
      </w:r>
      <w:r w:rsidR="00096EDD" w:rsidRPr="00096EDD">
        <w:rPr>
          <w:rFonts w:hint="eastAsia"/>
          <w:color w:val="000000"/>
          <w:sz w:val="24"/>
        </w:rPr>
        <w:t>市污水总处理能力的比重非常小，污水中主要污染物排放的总量也较小，基本不会增加</w:t>
      </w:r>
      <w:r w:rsidR="001079F1">
        <w:rPr>
          <w:rFonts w:hint="eastAsia"/>
          <w:color w:val="000000"/>
          <w:sz w:val="24"/>
        </w:rPr>
        <w:t>苏州及昆山</w:t>
      </w:r>
      <w:r w:rsidR="00096EDD" w:rsidRPr="00096EDD">
        <w:rPr>
          <w:rFonts w:hint="eastAsia"/>
          <w:color w:val="000000"/>
          <w:sz w:val="24"/>
        </w:rPr>
        <w:t>市政污水处理的负荷，对</w:t>
      </w:r>
      <w:r w:rsidR="00096EDD" w:rsidRPr="00E33A10">
        <w:rPr>
          <w:rFonts w:hint="eastAsia"/>
          <w:color w:val="000000"/>
          <w:sz w:val="24"/>
        </w:rPr>
        <w:t>地表纳污水体产生的影响较小。</w:t>
      </w:r>
    </w:p>
    <w:p w:rsidR="00096EDD" w:rsidRPr="00096EDD" w:rsidRDefault="00096EDD" w:rsidP="00C97ABA">
      <w:pPr>
        <w:pStyle w:val="2"/>
        <w:numPr>
          <w:ilvl w:val="1"/>
          <w:numId w:val="1"/>
        </w:numPr>
        <w:tabs>
          <w:tab w:val="num" w:pos="5813"/>
        </w:tabs>
        <w:spacing w:beforeLines="50" w:afterLines="50" w:line="240" w:lineRule="auto"/>
        <w:ind w:left="0" w:firstLine="0"/>
        <w:rPr>
          <w:rFonts w:ascii="Times New Roman" w:hAnsi="Times New Roman"/>
          <w:color w:val="000000"/>
          <w:sz w:val="24"/>
          <w:szCs w:val="24"/>
        </w:rPr>
      </w:pPr>
      <w:bookmarkStart w:id="17" w:name="_Toc349723657"/>
      <w:r w:rsidRPr="00E33A10">
        <w:rPr>
          <w:rStyle w:val="a7"/>
          <w:rFonts w:ascii="Times New Roman" w:hAnsi="Times New Roman" w:hint="eastAsia"/>
          <w:color w:val="000000"/>
          <w:sz w:val="24"/>
          <w:szCs w:val="24"/>
        </w:rPr>
        <w:t>地下水环境影响分析与评价</w:t>
      </w:r>
      <w:bookmarkEnd w:id="17"/>
    </w:p>
    <w:p w:rsidR="00B35AA9" w:rsidRDefault="00B35AA9" w:rsidP="00B35AA9">
      <w:pPr>
        <w:spacing w:line="400" w:lineRule="exact"/>
        <w:ind w:firstLine="420"/>
        <w:rPr>
          <w:rFonts w:hAnsiTheme="minorEastAsia"/>
          <w:sz w:val="24"/>
        </w:rPr>
      </w:pPr>
      <w:r w:rsidRPr="008C61DB">
        <w:rPr>
          <w:rFonts w:hAnsiTheme="minorEastAsia" w:hint="eastAsia"/>
          <w:sz w:val="24"/>
        </w:rPr>
        <w:t>本次规划线路大都在主城区，为地下方式，线路工程占据一定的潜水含水层空间和一部分微承压含水层空间，一般不会占据承压含水层的含水空间。部分线路走向与地下水径流方向相交，将形成对地下水流动的阻碍，局部改变地下水径流条件以及与河水的补排关系，但不会出现对地下水径流的阻断。</w:t>
      </w:r>
      <w:r w:rsidRPr="002832E0">
        <w:rPr>
          <w:rFonts w:hint="eastAsia"/>
          <w:sz w:val="24"/>
        </w:rPr>
        <w:t>总体上，区域内地下水的径流总量将比自然状况略有减少，但不会对地下水的流场产生较大影响。</w:t>
      </w:r>
    </w:p>
    <w:p w:rsidR="00797001" w:rsidRPr="00096EDD" w:rsidRDefault="00797001" w:rsidP="00C97ABA">
      <w:pPr>
        <w:pStyle w:val="2"/>
        <w:numPr>
          <w:ilvl w:val="1"/>
          <w:numId w:val="1"/>
        </w:numPr>
        <w:tabs>
          <w:tab w:val="num" w:pos="5813"/>
        </w:tabs>
        <w:spacing w:beforeLines="50" w:afterLines="50" w:line="240" w:lineRule="auto"/>
        <w:ind w:left="0" w:firstLine="0"/>
        <w:rPr>
          <w:rFonts w:ascii="Times New Roman" w:hAnsi="Times New Roman"/>
          <w:color w:val="000000"/>
          <w:sz w:val="24"/>
          <w:szCs w:val="24"/>
        </w:rPr>
      </w:pPr>
      <w:bookmarkStart w:id="18" w:name="_Toc349723658"/>
      <w:r w:rsidRPr="00E33A10">
        <w:rPr>
          <w:rStyle w:val="a7"/>
          <w:rFonts w:ascii="Times New Roman" w:hAnsi="Times New Roman" w:hint="eastAsia"/>
          <w:color w:val="000000"/>
          <w:sz w:val="24"/>
          <w:szCs w:val="24"/>
        </w:rPr>
        <w:t>电磁辐射影响分析</w:t>
      </w:r>
      <w:bookmarkEnd w:id="18"/>
    </w:p>
    <w:p w:rsidR="00797001" w:rsidRPr="00797001" w:rsidRDefault="00797001" w:rsidP="00C97ABA">
      <w:pPr>
        <w:spacing w:beforeLines="20" w:afterLines="20" w:line="400" w:lineRule="exact"/>
        <w:ind w:firstLineChars="196" w:firstLine="470"/>
        <w:rPr>
          <w:rFonts w:hAnsiTheme="minorEastAsia"/>
          <w:sz w:val="24"/>
        </w:rPr>
      </w:pPr>
      <w:r w:rsidRPr="00797001">
        <w:rPr>
          <w:rFonts w:hAnsiTheme="minorEastAsia" w:hint="eastAsia"/>
          <w:sz w:val="24"/>
        </w:rPr>
        <w:t>经类比预测，</w:t>
      </w:r>
      <w:r w:rsidR="001079F1">
        <w:rPr>
          <w:rFonts w:hAnsiTheme="minorEastAsia" w:hint="eastAsia"/>
          <w:sz w:val="24"/>
        </w:rPr>
        <w:t>苏州</w:t>
      </w:r>
      <w:r w:rsidRPr="00797001">
        <w:rPr>
          <w:rFonts w:hAnsiTheme="minorEastAsia" w:hint="eastAsia"/>
          <w:sz w:val="24"/>
        </w:rPr>
        <w:t>市轨道交通地面主变电所产生的工频电磁场和无线电干扰均不会超过相关国家标准限值，对周边电磁环境影响不大。地铁高架线电磁辐射对环境影响较小，电磁辐射对地铁高架线的布局不存在制约性。</w:t>
      </w:r>
    </w:p>
    <w:p w:rsidR="005E5F16" w:rsidRPr="00096EDD" w:rsidRDefault="005E5F16" w:rsidP="00C97ABA">
      <w:pPr>
        <w:pStyle w:val="2"/>
        <w:numPr>
          <w:ilvl w:val="1"/>
          <w:numId w:val="1"/>
        </w:numPr>
        <w:tabs>
          <w:tab w:val="num" w:pos="5813"/>
        </w:tabs>
        <w:spacing w:beforeLines="50" w:afterLines="50" w:line="240" w:lineRule="auto"/>
        <w:ind w:left="0" w:firstLine="0"/>
        <w:rPr>
          <w:rFonts w:ascii="Times New Roman" w:hAnsi="Times New Roman"/>
          <w:color w:val="000000"/>
          <w:sz w:val="24"/>
          <w:szCs w:val="24"/>
        </w:rPr>
      </w:pPr>
      <w:bookmarkStart w:id="19" w:name="_Toc349723659"/>
      <w:r w:rsidRPr="00E33A10">
        <w:rPr>
          <w:rStyle w:val="a7"/>
          <w:rFonts w:ascii="Times New Roman" w:hAnsi="Times New Roman" w:hint="eastAsia"/>
          <w:color w:val="000000"/>
          <w:sz w:val="24"/>
          <w:szCs w:val="24"/>
        </w:rPr>
        <w:t>环境空气影响分析</w:t>
      </w:r>
      <w:bookmarkEnd w:id="19"/>
    </w:p>
    <w:p w:rsidR="005E5F16" w:rsidRPr="00F67126" w:rsidRDefault="005E5F16" w:rsidP="00C97ABA">
      <w:pPr>
        <w:spacing w:beforeLines="20" w:afterLines="20" w:line="400" w:lineRule="exact"/>
        <w:ind w:firstLineChars="196" w:firstLine="470"/>
        <w:rPr>
          <w:rFonts w:ascii="Times New Roman" w:hAnsi="Times New Roman" w:cs="Times New Roman"/>
          <w:sz w:val="24"/>
        </w:rPr>
      </w:pPr>
      <w:r w:rsidRPr="00F67126">
        <w:rPr>
          <w:rFonts w:ascii="Times New Roman" w:cs="Times New Roman"/>
          <w:sz w:val="24"/>
        </w:rPr>
        <w:t>轨道交通运营对周围区域空气环境质量的影响主要体现在地面风亭排风与地铁车辆段各设施排放污染气体对周边空气环境的影响，但影响较小。</w:t>
      </w:r>
    </w:p>
    <w:p w:rsidR="00FF1121" w:rsidRPr="00096EDD" w:rsidRDefault="00FF1121" w:rsidP="00C97ABA">
      <w:pPr>
        <w:pStyle w:val="2"/>
        <w:numPr>
          <w:ilvl w:val="1"/>
          <w:numId w:val="1"/>
        </w:numPr>
        <w:tabs>
          <w:tab w:val="num" w:pos="5813"/>
        </w:tabs>
        <w:spacing w:beforeLines="50" w:afterLines="50" w:line="240" w:lineRule="auto"/>
        <w:ind w:left="0" w:firstLine="0"/>
        <w:rPr>
          <w:rFonts w:ascii="Times New Roman" w:hAnsi="Times New Roman"/>
          <w:color w:val="000000"/>
          <w:sz w:val="24"/>
          <w:szCs w:val="24"/>
        </w:rPr>
      </w:pPr>
      <w:bookmarkStart w:id="20" w:name="_Toc349723660"/>
      <w:r w:rsidRPr="00E33A10">
        <w:rPr>
          <w:rStyle w:val="a7"/>
          <w:rFonts w:ascii="Times New Roman" w:hAnsi="Times New Roman" w:hint="eastAsia"/>
          <w:color w:val="000000"/>
          <w:sz w:val="24"/>
          <w:szCs w:val="24"/>
        </w:rPr>
        <w:t>固体废物环境影响分析与评价</w:t>
      </w:r>
      <w:bookmarkEnd w:id="20"/>
    </w:p>
    <w:p w:rsidR="00FF1121" w:rsidRPr="00E33A10" w:rsidRDefault="00FF1121" w:rsidP="00C97ABA">
      <w:pPr>
        <w:adjustRightInd w:val="0"/>
        <w:snapToGrid w:val="0"/>
        <w:spacing w:beforeLines="20" w:afterLines="20" w:line="400" w:lineRule="exact"/>
        <w:ind w:firstLineChars="200" w:firstLine="480"/>
        <w:rPr>
          <w:color w:val="000000"/>
          <w:sz w:val="24"/>
        </w:rPr>
      </w:pPr>
      <w:r w:rsidRPr="00E33A10">
        <w:rPr>
          <w:rFonts w:hint="eastAsia"/>
          <w:color w:val="000000"/>
          <w:sz w:val="24"/>
        </w:rPr>
        <w:t>施工期和营运期产生的生活垃圾经收集后，交给环卫部门定时清运，对环境基本无影响。</w:t>
      </w:r>
    </w:p>
    <w:p w:rsidR="00077074" w:rsidRPr="00096EDD" w:rsidRDefault="00077074" w:rsidP="00C97ABA">
      <w:pPr>
        <w:pStyle w:val="2"/>
        <w:numPr>
          <w:ilvl w:val="1"/>
          <w:numId w:val="1"/>
        </w:numPr>
        <w:tabs>
          <w:tab w:val="num" w:pos="5813"/>
        </w:tabs>
        <w:spacing w:beforeLines="50" w:afterLines="50" w:line="240" w:lineRule="auto"/>
        <w:ind w:left="0" w:firstLine="0"/>
        <w:rPr>
          <w:rFonts w:ascii="Times New Roman" w:hAnsi="Times New Roman"/>
          <w:color w:val="000000"/>
          <w:sz w:val="24"/>
          <w:szCs w:val="24"/>
        </w:rPr>
      </w:pPr>
      <w:bookmarkStart w:id="21" w:name="_Toc349723661"/>
      <w:r w:rsidRPr="00E33A10">
        <w:rPr>
          <w:rStyle w:val="a7"/>
          <w:rFonts w:ascii="Times New Roman" w:hAnsi="Times New Roman" w:hint="eastAsia"/>
          <w:color w:val="000000"/>
          <w:sz w:val="24"/>
          <w:szCs w:val="24"/>
        </w:rPr>
        <w:t>城市生态与景观影响分析</w:t>
      </w:r>
      <w:bookmarkEnd w:id="21"/>
    </w:p>
    <w:p w:rsidR="0022543F" w:rsidRDefault="0022543F" w:rsidP="0022543F">
      <w:pPr>
        <w:spacing w:line="400" w:lineRule="exact"/>
        <w:ind w:firstLineChars="200" w:firstLine="480"/>
        <w:rPr>
          <w:rFonts w:ascii="宋体" w:hAnsi="宋体"/>
          <w:sz w:val="24"/>
        </w:rPr>
      </w:pPr>
      <w:r w:rsidRPr="00185CEF">
        <w:rPr>
          <w:rFonts w:ascii="宋体" w:hAnsi="宋体"/>
          <w:sz w:val="24"/>
        </w:rPr>
        <w:t>总体上看，本</w:t>
      </w:r>
      <w:r w:rsidRPr="00185CEF">
        <w:rPr>
          <w:rFonts w:ascii="宋体" w:hAnsi="宋体" w:hint="eastAsia"/>
          <w:sz w:val="24"/>
        </w:rPr>
        <w:t>次</w:t>
      </w:r>
      <w:r w:rsidR="00B762DA">
        <w:rPr>
          <w:rFonts w:ascii="宋体" w:hAnsi="宋体" w:hint="eastAsia"/>
          <w:sz w:val="24"/>
        </w:rPr>
        <w:t>建设</w:t>
      </w:r>
      <w:r>
        <w:rPr>
          <w:rFonts w:ascii="宋体" w:hAnsi="宋体" w:hint="eastAsia"/>
          <w:sz w:val="24"/>
        </w:rPr>
        <w:t>规划</w:t>
      </w:r>
      <w:r w:rsidR="00983ACB">
        <w:rPr>
          <w:rFonts w:ascii="宋体" w:hAnsi="宋体" w:hint="eastAsia"/>
          <w:sz w:val="24"/>
        </w:rPr>
        <w:t>评价</w:t>
      </w:r>
      <w:r>
        <w:rPr>
          <w:rFonts w:ascii="宋体" w:hAnsi="宋体"/>
          <w:sz w:val="24"/>
        </w:rPr>
        <w:t>线路</w:t>
      </w:r>
      <w:r w:rsidR="00983ACB">
        <w:rPr>
          <w:rFonts w:ascii="宋体" w:hAnsi="宋体" w:hint="eastAsia"/>
          <w:sz w:val="24"/>
        </w:rPr>
        <w:t>高架段</w:t>
      </w:r>
      <w:r w:rsidRPr="00185CEF">
        <w:rPr>
          <w:rFonts w:ascii="宋体" w:hAnsi="宋体" w:hint="eastAsia"/>
          <w:sz w:val="24"/>
        </w:rPr>
        <w:t>主要沿现有道路敷设，占用现状交通用地，</w:t>
      </w:r>
      <w:r w:rsidRPr="00185CEF">
        <w:rPr>
          <w:rFonts w:ascii="宋体" w:hAnsi="宋体"/>
          <w:sz w:val="24"/>
        </w:rPr>
        <w:t>沿线现状用地主要是</w:t>
      </w:r>
      <w:r w:rsidR="00983ACB">
        <w:rPr>
          <w:rFonts w:ascii="宋体" w:hAnsi="宋体" w:hint="eastAsia"/>
          <w:sz w:val="24"/>
        </w:rPr>
        <w:t>工业、农业和绿化用地，局部分布有居住用地</w:t>
      </w:r>
      <w:r w:rsidRPr="00185CEF">
        <w:rPr>
          <w:rFonts w:ascii="宋体" w:hAnsi="宋体" w:hint="eastAsia"/>
          <w:sz w:val="24"/>
        </w:rPr>
        <w:t>。地下段主要为车站地上部分占地，车站基本位于现有或规划道路交叉口，对土地利用现状影响不大。</w:t>
      </w:r>
      <w:r w:rsidR="00983ACB">
        <w:rPr>
          <w:rFonts w:ascii="宋体" w:hAnsi="宋体" w:hint="eastAsia"/>
          <w:sz w:val="24"/>
        </w:rPr>
        <w:t>规划线路</w:t>
      </w:r>
      <w:r w:rsidRPr="00BA2281">
        <w:rPr>
          <w:rFonts w:ascii="宋体" w:hAnsi="宋体" w:hint="eastAsia"/>
          <w:sz w:val="24"/>
        </w:rPr>
        <w:t>的建设基本不会对城市绿地系统产生不良影响。</w:t>
      </w:r>
    </w:p>
    <w:p w:rsidR="00D13123" w:rsidRPr="00096EDD" w:rsidRDefault="00D13123" w:rsidP="00C97ABA">
      <w:pPr>
        <w:pStyle w:val="2"/>
        <w:numPr>
          <w:ilvl w:val="1"/>
          <w:numId w:val="1"/>
        </w:numPr>
        <w:tabs>
          <w:tab w:val="num" w:pos="5813"/>
        </w:tabs>
        <w:spacing w:beforeLines="50" w:afterLines="50" w:line="240" w:lineRule="auto"/>
        <w:ind w:left="0" w:firstLine="0"/>
        <w:rPr>
          <w:rFonts w:ascii="Times New Roman" w:hAnsi="Times New Roman"/>
          <w:color w:val="000000"/>
          <w:sz w:val="24"/>
          <w:szCs w:val="24"/>
        </w:rPr>
      </w:pPr>
      <w:bookmarkStart w:id="22" w:name="_Toc349723662"/>
      <w:r w:rsidRPr="00E33A10">
        <w:rPr>
          <w:rStyle w:val="a7"/>
          <w:rFonts w:ascii="Times New Roman" w:hAnsi="Times New Roman" w:hint="eastAsia"/>
          <w:color w:val="000000"/>
          <w:sz w:val="24"/>
          <w:szCs w:val="24"/>
        </w:rPr>
        <w:t>社会环境影响分析</w:t>
      </w:r>
      <w:bookmarkEnd w:id="22"/>
    </w:p>
    <w:p w:rsidR="00A5792E" w:rsidRPr="00E33A10" w:rsidRDefault="00A5792E" w:rsidP="00C97ABA">
      <w:pPr>
        <w:adjustRightInd w:val="0"/>
        <w:snapToGrid w:val="0"/>
        <w:spacing w:beforeLines="20" w:afterLines="20" w:line="400" w:lineRule="exact"/>
        <w:ind w:firstLineChars="200" w:firstLine="480"/>
        <w:rPr>
          <w:color w:val="000000"/>
          <w:sz w:val="24"/>
        </w:rPr>
      </w:pPr>
      <w:r w:rsidRPr="00E33A10">
        <w:rPr>
          <w:rFonts w:hint="eastAsia"/>
          <w:color w:val="000000"/>
          <w:sz w:val="24"/>
        </w:rPr>
        <w:t>能耗低、污染低、安全性高的轨道交通对促进</w:t>
      </w:r>
      <w:r w:rsidR="001079F1">
        <w:rPr>
          <w:rFonts w:hint="eastAsia"/>
          <w:color w:val="000000"/>
          <w:sz w:val="24"/>
        </w:rPr>
        <w:t>苏州</w:t>
      </w:r>
      <w:r w:rsidRPr="00E33A10">
        <w:rPr>
          <w:rFonts w:hint="eastAsia"/>
          <w:color w:val="000000"/>
          <w:sz w:val="24"/>
        </w:rPr>
        <w:t>市可持续发展具有重要意义。本规划实施有利于促进城市综合交通客运体系的形成，促进地区的经济发展和城市建设，引导城市人口的重新分布和产业结构的调整，优化</w:t>
      </w:r>
      <w:r w:rsidR="001079F1">
        <w:rPr>
          <w:rFonts w:hint="eastAsia"/>
          <w:color w:val="000000"/>
          <w:sz w:val="24"/>
        </w:rPr>
        <w:t>苏州</w:t>
      </w:r>
      <w:r w:rsidRPr="00E33A10">
        <w:rPr>
          <w:rFonts w:hint="eastAsia"/>
          <w:color w:val="000000"/>
          <w:sz w:val="24"/>
        </w:rPr>
        <w:t>城市的空间布局。本规划实施有利于改善</w:t>
      </w:r>
      <w:r w:rsidR="001079F1">
        <w:rPr>
          <w:rFonts w:hint="eastAsia"/>
          <w:color w:val="000000"/>
          <w:sz w:val="24"/>
        </w:rPr>
        <w:t>苏州</w:t>
      </w:r>
      <w:r w:rsidRPr="00E33A10">
        <w:rPr>
          <w:rFonts w:hint="eastAsia"/>
          <w:color w:val="000000"/>
          <w:sz w:val="24"/>
        </w:rPr>
        <w:t>市的旅游交通环境，提升国际地位。规划实施有助于完善公共交通体系，改善市民的出行条件。</w:t>
      </w:r>
    </w:p>
    <w:p w:rsidR="00B82AEC" w:rsidRPr="000E6AB2" w:rsidRDefault="0070671F" w:rsidP="00B82AEC">
      <w:pPr>
        <w:pStyle w:val="1"/>
        <w:numPr>
          <w:ilvl w:val="0"/>
          <w:numId w:val="1"/>
        </w:numPr>
        <w:tabs>
          <w:tab w:val="clear" w:pos="3365"/>
          <w:tab w:val="num" w:pos="0"/>
        </w:tabs>
        <w:ind w:left="0" w:firstLine="0"/>
        <w:rPr>
          <w:sz w:val="24"/>
          <w:szCs w:val="24"/>
        </w:rPr>
      </w:pPr>
      <w:bookmarkStart w:id="23" w:name="_Toc349723663"/>
      <w:r>
        <w:rPr>
          <w:rFonts w:hint="eastAsia"/>
          <w:sz w:val="24"/>
          <w:szCs w:val="24"/>
        </w:rPr>
        <w:t>环境保护对策措施</w:t>
      </w:r>
      <w:bookmarkEnd w:id="23"/>
    </w:p>
    <w:p w:rsidR="00FA1D19" w:rsidRDefault="00F67126" w:rsidP="00F67126">
      <w:pPr>
        <w:spacing w:line="400" w:lineRule="exact"/>
        <w:ind w:firstLineChars="200" w:firstLine="480"/>
        <w:rPr>
          <w:rFonts w:ascii="宋体" w:hAnsi="宋体"/>
          <w:sz w:val="24"/>
        </w:rPr>
      </w:pPr>
      <w:r>
        <w:rPr>
          <w:rFonts w:ascii="宋体" w:hAnsi="宋体" w:hint="eastAsia"/>
          <w:sz w:val="24"/>
        </w:rPr>
        <w:t>（1）</w:t>
      </w:r>
      <w:r w:rsidRPr="00F67126">
        <w:rPr>
          <w:rFonts w:ascii="宋体" w:hAnsi="宋体" w:hint="eastAsia"/>
          <w:sz w:val="24"/>
        </w:rPr>
        <w:t>噪声控制措施</w:t>
      </w:r>
    </w:p>
    <w:p w:rsidR="00F67126" w:rsidRDefault="00F67126" w:rsidP="00F67126">
      <w:pPr>
        <w:spacing w:line="400" w:lineRule="exact"/>
        <w:ind w:firstLineChars="200" w:firstLine="480"/>
        <w:rPr>
          <w:rFonts w:ascii="宋体" w:hAnsi="宋体"/>
          <w:sz w:val="24"/>
        </w:rPr>
      </w:pPr>
      <w:r w:rsidRPr="00F67126">
        <w:rPr>
          <w:rFonts w:ascii="宋体" w:hAnsi="宋体" w:hint="eastAsia"/>
          <w:sz w:val="24"/>
        </w:rPr>
        <w:t>轨道交通线路噪声污染治理措施概括起来包括声源、传播途径、与受声点防护措施三大类，声源控制是防治轨道交通噪声影响的最根本手段，主要通过采用低噪声车辆、轨道及设备来实现；传播途径防治措施主要通过设置隔声屏障、消声器，种植绿化林带，合理进行建筑布局来实现；受声点防护措施有搬迁、改变敏感点功能和建筑隔声等。</w:t>
      </w:r>
    </w:p>
    <w:p w:rsidR="00F67126" w:rsidRDefault="00F67126" w:rsidP="00F67126">
      <w:pPr>
        <w:spacing w:line="400" w:lineRule="exact"/>
        <w:ind w:firstLineChars="200" w:firstLine="480"/>
        <w:rPr>
          <w:rFonts w:ascii="宋体" w:hAnsi="宋体"/>
          <w:sz w:val="24"/>
        </w:rPr>
      </w:pPr>
      <w:r w:rsidRPr="00F67126">
        <w:rPr>
          <w:rFonts w:ascii="宋体" w:hAnsi="宋体" w:hint="eastAsia"/>
          <w:sz w:val="24"/>
        </w:rPr>
        <w:t>根据轨道交通噪声治理经验，目前较常用的噪声治理措施为设置声屏障、消声器、进行轨道减振与建筑物合理布局，这些措施的采取对降低轨道交通噪声影响起到了积极作用；而绿化林带、搬迁与功能置换等措施因增加了土地需求和工程造价，需因地制宜、谨慎采用；低噪声车辆、设备与轨道结构等先进技术的引进、研发与应用，应成为今后轨道交通噪声治理的主流方向。规划线路的具体噪声治理措施，应根据项目实施时的声环境要求，技术经济条件等因素在项目环评中通过详细的分析论证确定。</w:t>
      </w:r>
    </w:p>
    <w:p w:rsidR="00F67126" w:rsidRDefault="00F67126" w:rsidP="00F67126">
      <w:pPr>
        <w:spacing w:line="400" w:lineRule="exact"/>
        <w:ind w:firstLineChars="200" w:firstLine="480"/>
        <w:rPr>
          <w:rFonts w:ascii="宋体" w:hAnsi="宋体"/>
          <w:sz w:val="24"/>
        </w:rPr>
      </w:pPr>
      <w:r>
        <w:rPr>
          <w:rFonts w:ascii="宋体" w:hAnsi="宋体" w:hint="eastAsia"/>
          <w:sz w:val="24"/>
        </w:rPr>
        <w:t>（2）</w:t>
      </w:r>
      <w:r w:rsidRPr="00F67126">
        <w:rPr>
          <w:rFonts w:ascii="宋体" w:hAnsi="宋体" w:hint="eastAsia"/>
          <w:sz w:val="24"/>
        </w:rPr>
        <w:t>振动防治工程措施</w:t>
      </w:r>
    </w:p>
    <w:p w:rsidR="00F67126" w:rsidRDefault="00F67126" w:rsidP="00F67126">
      <w:pPr>
        <w:spacing w:line="400" w:lineRule="exact"/>
        <w:ind w:firstLineChars="200" w:firstLine="480"/>
        <w:rPr>
          <w:rFonts w:ascii="宋体" w:hAnsi="宋体"/>
          <w:sz w:val="24"/>
        </w:rPr>
      </w:pPr>
      <w:r w:rsidRPr="00F67126">
        <w:rPr>
          <w:rFonts w:ascii="宋体" w:hAnsi="宋体" w:hint="eastAsia"/>
          <w:sz w:val="24"/>
        </w:rPr>
        <w:t>根据地铁振动的产生机理，在车辆类型、轨道构造、线路条件等方面进行减振设计，将降低轮轨撞击产生的振动源强值，从根本上减轻轨道交通振动对周围环境的影响。即在车辆选型中，除考虑车辆的动力和机械性能外，还应重点考虑其振动指标，优先选择噪声振动值低、结构优良的车辆；铺设60kg/m 重轨无缝线路，采用减振扣件（如Lord 扣件、Vanguard扣件等），减振道床（如弹性短轨枕或支承块、浮置板道床、橡胶隔振垫等）等轨道结构振动控制措施。轨道结构振动控制措施是目前轨道交通振动控制的主流方向，经过多年实践，其技术已日趋成熟。规划项目的具体振动防护措施应在项目环评中根据当时的环境要求和经济技术水平确定。</w:t>
      </w:r>
    </w:p>
    <w:p w:rsidR="00F67126" w:rsidRDefault="00F67126" w:rsidP="00F67126">
      <w:pPr>
        <w:spacing w:line="400" w:lineRule="exact"/>
        <w:ind w:firstLineChars="200" w:firstLine="480"/>
        <w:rPr>
          <w:rFonts w:ascii="宋体" w:hAnsi="宋体"/>
          <w:sz w:val="24"/>
        </w:rPr>
      </w:pPr>
      <w:r>
        <w:rPr>
          <w:rFonts w:ascii="宋体" w:hAnsi="宋体" w:hint="eastAsia"/>
          <w:sz w:val="24"/>
        </w:rPr>
        <w:t>（3）</w:t>
      </w:r>
      <w:r w:rsidRPr="00F67126">
        <w:rPr>
          <w:rFonts w:ascii="宋体" w:hAnsi="宋体" w:hint="eastAsia"/>
          <w:sz w:val="24"/>
        </w:rPr>
        <w:t>水污染防治措施及水资源保护措施</w:t>
      </w:r>
    </w:p>
    <w:p w:rsidR="00F67126" w:rsidRPr="00F67126" w:rsidRDefault="00F67126" w:rsidP="00F67126">
      <w:pPr>
        <w:spacing w:line="400" w:lineRule="exact"/>
        <w:ind w:firstLineChars="200" w:firstLine="480"/>
        <w:rPr>
          <w:rFonts w:ascii="宋体" w:hAnsi="宋体"/>
          <w:sz w:val="24"/>
        </w:rPr>
      </w:pPr>
      <w:r w:rsidRPr="00F67126">
        <w:rPr>
          <w:rFonts w:ascii="宋体" w:hAnsi="宋体" w:hint="eastAsia"/>
          <w:sz w:val="24"/>
        </w:rPr>
        <w:t xml:space="preserve">下一步设计中应注意轨道线路建设与相应污水处理厂建设的同步性，确保轨道交通附近区域污水管网于车场建成前完成敷设，保证各站段废水能够接入相应污水处理厂处理。 </w:t>
      </w:r>
    </w:p>
    <w:p w:rsidR="00F67126" w:rsidRPr="00F67126" w:rsidRDefault="00F67126" w:rsidP="00F67126">
      <w:pPr>
        <w:spacing w:line="400" w:lineRule="exact"/>
        <w:ind w:firstLineChars="200" w:firstLine="480"/>
        <w:rPr>
          <w:rFonts w:ascii="宋体" w:hAnsi="宋体"/>
          <w:sz w:val="24"/>
        </w:rPr>
      </w:pPr>
      <w:r w:rsidRPr="00F67126">
        <w:rPr>
          <w:rFonts w:ascii="宋体" w:hAnsi="宋体" w:hint="eastAsia"/>
          <w:sz w:val="24"/>
        </w:rPr>
        <w:t xml:space="preserve">加强规划实施过程中对地下水位的动态监测，优化施工工艺和方案，对施工降水尽量综合利用，防止地下水位大幅下降并实现水资源的综合利用。 </w:t>
      </w:r>
    </w:p>
    <w:p w:rsidR="00F67126" w:rsidRDefault="00F67126" w:rsidP="00F67126">
      <w:pPr>
        <w:spacing w:line="400" w:lineRule="exact"/>
        <w:ind w:firstLineChars="200" w:firstLine="480"/>
        <w:rPr>
          <w:rFonts w:ascii="宋体" w:hAnsi="宋体"/>
          <w:sz w:val="24"/>
        </w:rPr>
      </w:pPr>
      <w:r w:rsidRPr="00F67126">
        <w:rPr>
          <w:rFonts w:ascii="宋体" w:hAnsi="宋体" w:hint="eastAsia"/>
          <w:sz w:val="24"/>
        </w:rPr>
        <w:t>施工中若需要基坑降水，应按照有关要求，编制疏干排水方案，报</w:t>
      </w:r>
      <w:r w:rsidR="001079F1">
        <w:rPr>
          <w:rFonts w:ascii="宋体" w:hAnsi="宋体" w:hint="eastAsia"/>
          <w:sz w:val="24"/>
        </w:rPr>
        <w:t>苏州</w:t>
      </w:r>
      <w:r w:rsidRPr="00F67126">
        <w:rPr>
          <w:rFonts w:ascii="宋体" w:hAnsi="宋体" w:hint="eastAsia"/>
          <w:sz w:val="24"/>
        </w:rPr>
        <w:t>市水行政主管部门备案。加强油类等施工材料的使用和管理，做好施工机械和设备的日常维护工作，可将施工作业对地下水水质造成的影响降至最小。</w:t>
      </w:r>
    </w:p>
    <w:p w:rsidR="00F67126" w:rsidRPr="00F67126" w:rsidRDefault="00F67126" w:rsidP="00F67126">
      <w:pPr>
        <w:pStyle w:val="1"/>
        <w:numPr>
          <w:ilvl w:val="0"/>
          <w:numId w:val="1"/>
        </w:numPr>
        <w:tabs>
          <w:tab w:val="clear" w:pos="3365"/>
          <w:tab w:val="num" w:pos="0"/>
        </w:tabs>
        <w:ind w:left="0" w:firstLine="0"/>
        <w:rPr>
          <w:sz w:val="24"/>
          <w:szCs w:val="24"/>
        </w:rPr>
      </w:pPr>
      <w:bookmarkStart w:id="24" w:name="_Toc176327402"/>
      <w:bookmarkStart w:id="25" w:name="_Toc218759252"/>
      <w:bookmarkStart w:id="26" w:name="_Toc320187547"/>
      <w:bookmarkStart w:id="27" w:name="_Toc320187780"/>
      <w:bookmarkStart w:id="28" w:name="_Toc320188387"/>
      <w:bookmarkStart w:id="29" w:name="_Toc321685597"/>
      <w:bookmarkStart w:id="30" w:name="_Toc321685866"/>
      <w:bookmarkStart w:id="31" w:name="_Toc321686135"/>
      <w:bookmarkStart w:id="32" w:name="_Toc326507660"/>
      <w:bookmarkStart w:id="33" w:name="_Toc349723664"/>
      <w:r w:rsidRPr="00F67126">
        <w:rPr>
          <w:rFonts w:ascii="Times New Roman" w:hAnsi="Times New Roman" w:hint="eastAsia"/>
          <w:color w:val="000000"/>
          <w:sz w:val="24"/>
          <w:szCs w:val="24"/>
        </w:rPr>
        <w:t>总体评价结论</w:t>
      </w:r>
      <w:bookmarkEnd w:id="24"/>
      <w:bookmarkEnd w:id="25"/>
      <w:bookmarkEnd w:id="26"/>
      <w:bookmarkEnd w:id="27"/>
      <w:bookmarkEnd w:id="28"/>
      <w:bookmarkEnd w:id="29"/>
      <w:bookmarkEnd w:id="30"/>
      <w:bookmarkEnd w:id="31"/>
      <w:bookmarkEnd w:id="32"/>
      <w:bookmarkEnd w:id="33"/>
    </w:p>
    <w:p w:rsidR="00F673DC" w:rsidRPr="00F30356" w:rsidRDefault="001079F1" w:rsidP="00C97ABA">
      <w:pPr>
        <w:autoSpaceDE w:val="0"/>
        <w:autoSpaceDN w:val="0"/>
        <w:adjustRightInd w:val="0"/>
        <w:snapToGrid w:val="0"/>
        <w:spacing w:beforeLines="20" w:afterLines="20" w:line="400" w:lineRule="exact"/>
        <w:ind w:firstLineChars="200" w:firstLine="480"/>
        <w:rPr>
          <w:color w:val="000000"/>
          <w:sz w:val="24"/>
        </w:rPr>
      </w:pPr>
      <w:r w:rsidRPr="009B53A9">
        <w:rPr>
          <w:rFonts w:hint="eastAsia"/>
          <w:color w:val="000000"/>
          <w:sz w:val="24"/>
        </w:rPr>
        <w:t>《苏州市城市轨道交通近期建设规划</w:t>
      </w:r>
      <w:r w:rsidRPr="009B53A9">
        <w:rPr>
          <w:color w:val="000000"/>
          <w:sz w:val="24"/>
        </w:rPr>
        <w:t>（</w:t>
      </w:r>
      <w:r w:rsidRPr="009B53A9">
        <w:rPr>
          <w:color w:val="000000"/>
          <w:sz w:val="24"/>
        </w:rPr>
        <w:t>2016-202</w:t>
      </w:r>
      <w:r w:rsidRPr="009B53A9">
        <w:rPr>
          <w:rFonts w:hint="eastAsia"/>
          <w:color w:val="000000"/>
          <w:sz w:val="24"/>
        </w:rPr>
        <w:t>2</w:t>
      </w:r>
      <w:r w:rsidRPr="009B53A9">
        <w:rPr>
          <w:color w:val="000000"/>
          <w:sz w:val="24"/>
        </w:rPr>
        <w:t>）</w:t>
      </w:r>
      <w:r w:rsidRPr="009B53A9">
        <w:rPr>
          <w:rFonts w:hint="eastAsia"/>
          <w:color w:val="000000"/>
          <w:sz w:val="24"/>
        </w:rPr>
        <w:t>》及《</w:t>
      </w:r>
      <w:r w:rsidRPr="009B53A9">
        <w:rPr>
          <w:color w:val="000000"/>
          <w:sz w:val="24"/>
        </w:rPr>
        <w:t>苏州市城市轨道交通线网规划》</w:t>
      </w:r>
      <w:r w:rsidR="00F673DC" w:rsidRPr="00D30445">
        <w:rPr>
          <w:color w:val="000000"/>
          <w:sz w:val="24"/>
        </w:rPr>
        <w:t>符合国家相关政策，与</w:t>
      </w:r>
      <w:r>
        <w:rPr>
          <w:rFonts w:hint="eastAsia"/>
          <w:color w:val="000000"/>
          <w:sz w:val="24"/>
        </w:rPr>
        <w:t>苏州及昆山</w:t>
      </w:r>
      <w:r w:rsidR="00F673DC" w:rsidRPr="00D30445">
        <w:rPr>
          <w:color w:val="000000"/>
          <w:sz w:val="24"/>
        </w:rPr>
        <w:t>市城市总体规划、土地利用总体规划、环境保护、历史文化名城保护等相关规划基本协调，有利于</w:t>
      </w:r>
      <w:r>
        <w:rPr>
          <w:rFonts w:hint="eastAsia"/>
          <w:color w:val="000000"/>
          <w:sz w:val="24"/>
        </w:rPr>
        <w:t>苏州及昆山</w:t>
      </w:r>
      <w:r w:rsidR="00F673DC" w:rsidRPr="00D30445">
        <w:rPr>
          <w:color w:val="000000"/>
          <w:sz w:val="24"/>
        </w:rPr>
        <w:t>市城市发展目标的实现。</w:t>
      </w:r>
    </w:p>
    <w:p w:rsidR="001079F1" w:rsidRPr="00F30356" w:rsidRDefault="001079F1" w:rsidP="00C97ABA">
      <w:pPr>
        <w:autoSpaceDE w:val="0"/>
        <w:autoSpaceDN w:val="0"/>
        <w:adjustRightInd w:val="0"/>
        <w:snapToGrid w:val="0"/>
        <w:spacing w:beforeLines="20" w:afterLines="20" w:line="400" w:lineRule="exact"/>
        <w:ind w:firstLineChars="200" w:firstLine="480"/>
        <w:rPr>
          <w:color w:val="000000"/>
          <w:sz w:val="24"/>
        </w:rPr>
      </w:pPr>
      <w:r>
        <w:rPr>
          <w:rFonts w:hAnsiTheme="minorEastAsia" w:hint="eastAsia"/>
          <w:color w:val="000000"/>
          <w:sz w:val="24"/>
        </w:rPr>
        <w:t>本次建设</w:t>
      </w:r>
      <w:r w:rsidRPr="00F30356">
        <w:rPr>
          <w:rFonts w:hAnsiTheme="minorEastAsia"/>
          <w:color w:val="000000"/>
          <w:sz w:val="24"/>
        </w:rPr>
        <w:t>规划</w:t>
      </w:r>
      <w:r>
        <w:rPr>
          <w:rFonts w:hAnsiTheme="minorEastAsia" w:hint="eastAsia"/>
          <w:color w:val="000000"/>
          <w:sz w:val="24"/>
        </w:rPr>
        <w:t>方案的</w:t>
      </w:r>
      <w:r w:rsidRPr="00F30356">
        <w:rPr>
          <w:rFonts w:hAnsiTheme="minorEastAsia"/>
          <w:color w:val="000000"/>
          <w:sz w:val="24"/>
        </w:rPr>
        <w:t>线路总体布局、敷设方式基本合理。在进一步优化</w:t>
      </w:r>
      <w:r>
        <w:rPr>
          <w:rFonts w:hAnsiTheme="minorEastAsia" w:hint="eastAsia"/>
          <w:color w:val="000000"/>
          <w:sz w:val="24"/>
        </w:rPr>
        <w:t>穿越古城区的部分线路的</w:t>
      </w:r>
      <w:r w:rsidRPr="00F30356">
        <w:rPr>
          <w:rFonts w:hAnsiTheme="minorEastAsia"/>
          <w:color w:val="000000"/>
          <w:sz w:val="24"/>
        </w:rPr>
        <w:t>具体线位或敷设方式后，并在下一步规划实施阶段进一步落实有效的环境影响减缓措施。在依据报告书结论进一步优化调整、认真落实各项预防和减轻不良环境影响对策措施的基础上，规划实施不存在重大环境制约因素，规划目标和环境目标总体是合理的和可达到的。</w:t>
      </w:r>
    </w:p>
    <w:p w:rsidR="00F673DC" w:rsidRPr="00F67126" w:rsidRDefault="001079F1" w:rsidP="001079F1">
      <w:pPr>
        <w:spacing w:line="400" w:lineRule="exact"/>
        <w:ind w:firstLineChars="200" w:firstLine="480"/>
        <w:rPr>
          <w:rFonts w:ascii="宋体" w:hAnsi="宋体"/>
          <w:sz w:val="24"/>
        </w:rPr>
      </w:pPr>
      <w:r w:rsidRPr="00F30356">
        <w:rPr>
          <w:rFonts w:hAnsiTheme="minorEastAsia"/>
          <w:color w:val="000000"/>
          <w:sz w:val="24"/>
        </w:rPr>
        <w:t>综上所述，从环境保护和环境规划的角度，</w:t>
      </w:r>
      <w:r w:rsidRPr="009B53A9">
        <w:rPr>
          <w:rFonts w:hint="eastAsia"/>
          <w:color w:val="000000"/>
          <w:sz w:val="24"/>
        </w:rPr>
        <w:t>《苏州市城市轨道交通近期建设规划</w:t>
      </w:r>
      <w:r w:rsidRPr="009B53A9">
        <w:rPr>
          <w:color w:val="000000"/>
          <w:sz w:val="24"/>
        </w:rPr>
        <w:t>（</w:t>
      </w:r>
      <w:r w:rsidRPr="009B53A9">
        <w:rPr>
          <w:color w:val="000000"/>
          <w:sz w:val="24"/>
        </w:rPr>
        <w:t>2016-202</w:t>
      </w:r>
      <w:r w:rsidRPr="009B53A9">
        <w:rPr>
          <w:rFonts w:hint="eastAsia"/>
          <w:color w:val="000000"/>
          <w:sz w:val="24"/>
        </w:rPr>
        <w:t>2</w:t>
      </w:r>
      <w:r w:rsidRPr="009B53A9">
        <w:rPr>
          <w:color w:val="000000"/>
          <w:sz w:val="24"/>
        </w:rPr>
        <w:t>）</w:t>
      </w:r>
      <w:r w:rsidRPr="009B53A9">
        <w:rPr>
          <w:rFonts w:hint="eastAsia"/>
          <w:color w:val="000000"/>
          <w:sz w:val="24"/>
        </w:rPr>
        <w:t>》及《</w:t>
      </w:r>
      <w:r w:rsidRPr="009B53A9">
        <w:rPr>
          <w:color w:val="000000"/>
          <w:sz w:val="24"/>
        </w:rPr>
        <w:t>苏州市城市轨道交通线网规划》</w:t>
      </w:r>
      <w:r w:rsidRPr="00F30356">
        <w:rPr>
          <w:rFonts w:hAnsiTheme="minorEastAsia"/>
          <w:color w:val="000000"/>
          <w:sz w:val="24"/>
        </w:rPr>
        <w:t>基本可行</w:t>
      </w:r>
      <w:r>
        <w:rPr>
          <w:rFonts w:hAnsiTheme="minorEastAsia" w:hint="eastAsia"/>
          <w:color w:val="000000"/>
          <w:sz w:val="24"/>
        </w:rPr>
        <w:t>。</w:t>
      </w:r>
    </w:p>
    <w:sectPr w:rsidR="00F673DC" w:rsidRPr="00F67126" w:rsidSect="003C17A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967" w:rsidRDefault="00374967" w:rsidP="006F3DAA">
      <w:r>
        <w:separator/>
      </w:r>
    </w:p>
  </w:endnote>
  <w:endnote w:type="continuationSeparator" w:id="1">
    <w:p w:rsidR="00374967" w:rsidRDefault="00374967" w:rsidP="006F3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AA" w:rsidRDefault="006F3DAA">
    <w:pPr>
      <w:pStyle w:val="ad"/>
    </w:pPr>
    <w:r>
      <w:ptab w:relativeTo="margin" w:alignment="center" w:leader="none"/>
    </w:r>
    <w:fldSimple w:instr=" PAGE   \* MERGEFORMAT ">
      <w:r w:rsidR="00C97ABA">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967" w:rsidRDefault="00374967" w:rsidP="006F3DAA">
      <w:r>
        <w:separator/>
      </w:r>
    </w:p>
  </w:footnote>
  <w:footnote w:type="continuationSeparator" w:id="1">
    <w:p w:rsidR="00374967" w:rsidRDefault="00374967" w:rsidP="006F3D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91D"/>
    <w:multiLevelType w:val="hybridMultilevel"/>
    <w:tmpl w:val="1C30CC92"/>
    <w:lvl w:ilvl="0" w:tplc="7ADA986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0EC50DD"/>
    <w:multiLevelType w:val="singleLevel"/>
    <w:tmpl w:val="750E1568"/>
    <w:lvl w:ilvl="0">
      <w:start w:val="1"/>
      <w:numFmt w:val="bullet"/>
      <w:pStyle w:val="a"/>
      <w:lvlText w:val=""/>
      <w:lvlJc w:val="left"/>
      <w:pPr>
        <w:tabs>
          <w:tab w:val="num" w:pos="1134"/>
        </w:tabs>
        <w:ind w:left="1134" w:hanging="624"/>
      </w:pPr>
      <w:rPr>
        <w:rFonts w:ascii="Wingdings" w:hAnsi="Wingdings" w:hint="default"/>
      </w:rPr>
    </w:lvl>
  </w:abstractNum>
  <w:abstractNum w:abstractNumId="2">
    <w:nsid w:val="131E26E5"/>
    <w:multiLevelType w:val="hybridMultilevel"/>
    <w:tmpl w:val="51C8F8AE"/>
    <w:lvl w:ilvl="0" w:tplc="12DA8186">
      <w:start w:val="1"/>
      <w:numFmt w:val="decimal"/>
      <w:lvlText w:val="（%1）"/>
      <w:lvlJc w:val="left"/>
      <w:pPr>
        <w:ind w:left="1200" w:hanging="720"/>
      </w:pPr>
      <w:rPr>
        <w:rFonts w:eastAsiaTheme="minorEastAsia"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F8E5A97"/>
    <w:multiLevelType w:val="hybridMultilevel"/>
    <w:tmpl w:val="2C6222C2"/>
    <w:lvl w:ilvl="0" w:tplc="3394291A">
      <w:start w:val="1"/>
      <w:numFmt w:val="decimal"/>
      <w:lvlText w:val="（%1）"/>
      <w:lvlJc w:val="left"/>
      <w:pPr>
        <w:ind w:left="1200" w:hanging="720"/>
      </w:pPr>
      <w:rPr>
        <w:rFonts w:ascii="Times New Roman" w:eastAsiaTheme="minorEastAsia" w:hAnsiTheme="minorEastAsia"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D365237"/>
    <w:multiLevelType w:val="hybridMultilevel"/>
    <w:tmpl w:val="BBF094B0"/>
    <w:lvl w:ilvl="0" w:tplc="E208D4A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D9417D"/>
    <w:multiLevelType w:val="multilevel"/>
    <w:tmpl w:val="D504B2FA"/>
    <w:lvl w:ilvl="0">
      <w:start w:val="1"/>
      <w:numFmt w:val="decimal"/>
      <w:lvlText w:val="%1."/>
      <w:lvlJc w:val="left"/>
      <w:pPr>
        <w:tabs>
          <w:tab w:val="num" w:pos="3365"/>
        </w:tabs>
        <w:ind w:left="3365" w:hanging="425"/>
      </w:pPr>
      <w:rPr>
        <w:rFonts w:ascii="Times New Roman" w:eastAsia="宋体" w:hAnsi="Times New Roman" w:hint="default"/>
        <w:outline w:val="0"/>
        <w:color w:val="auto"/>
        <w:sz w:val="32"/>
        <w:vertAlign w:val="baseline"/>
      </w:rPr>
    </w:lvl>
    <w:lvl w:ilvl="1">
      <w:start w:val="1"/>
      <w:numFmt w:val="decimal"/>
      <w:lvlText w:val="%1.%2."/>
      <w:lvlJc w:val="left"/>
      <w:pPr>
        <w:tabs>
          <w:tab w:val="num" w:pos="567"/>
        </w:tabs>
        <w:ind w:left="567" w:hanging="567"/>
      </w:pPr>
      <w:rPr>
        <w:rFonts w:ascii="Times New Roman" w:eastAsia="宋体" w:hAnsi="Times New Roman" w:hint="eastAsia"/>
        <w:sz w:val="28"/>
        <w:szCs w:val="28"/>
      </w:rPr>
    </w:lvl>
    <w:lvl w:ilvl="2">
      <w:start w:val="1"/>
      <w:numFmt w:val="decimal"/>
      <w:lvlText w:val="%1.%2.%3."/>
      <w:lvlJc w:val="left"/>
      <w:pPr>
        <w:tabs>
          <w:tab w:val="num" w:pos="2179"/>
        </w:tabs>
        <w:ind w:left="2179" w:hanging="709"/>
      </w:pPr>
      <w:rPr>
        <w:rFonts w:ascii="Times New Roman" w:hAnsi="Times New Roman" w:hint="eastAsia"/>
        <w:b/>
      </w:rPr>
    </w:lvl>
    <w:lvl w:ilvl="3">
      <w:start w:val="1"/>
      <w:numFmt w:val="decimal"/>
      <w:pStyle w:val="a0"/>
      <w:lvlText w:val="%1.%2.%3.%4."/>
      <w:lvlJc w:val="left"/>
      <w:pPr>
        <w:tabs>
          <w:tab w:val="num" w:pos="851"/>
        </w:tabs>
        <w:ind w:left="851" w:hanging="851"/>
      </w:pPr>
      <w:rPr>
        <w:rFonts w:ascii="Times New Roman" w:hAnsi="Times New Roman" w:cs="Times New Roman" w:hint="default"/>
        <w:b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526A0277"/>
    <w:multiLevelType w:val="hybridMultilevel"/>
    <w:tmpl w:val="983E12A6"/>
    <w:lvl w:ilvl="0" w:tplc="73A8705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C876B4D"/>
    <w:multiLevelType w:val="hybridMultilevel"/>
    <w:tmpl w:val="416A1346"/>
    <w:lvl w:ilvl="0" w:tplc="2D90685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A076A89"/>
    <w:multiLevelType w:val="hybridMultilevel"/>
    <w:tmpl w:val="BDE8F674"/>
    <w:lvl w:ilvl="0" w:tplc="D164A4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A4F7D79"/>
    <w:multiLevelType w:val="hybridMultilevel"/>
    <w:tmpl w:val="353CA04C"/>
    <w:lvl w:ilvl="0" w:tplc="A4586F9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
  </w:num>
  <w:num w:numId="4">
    <w:abstractNumId w:val="3"/>
  </w:num>
  <w:num w:numId="5">
    <w:abstractNumId w:val="7"/>
  </w:num>
  <w:num w:numId="6">
    <w:abstractNumId w:val="8"/>
  </w:num>
  <w:num w:numId="7">
    <w:abstractNumId w:val="0"/>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C30"/>
    <w:rsid w:val="00012292"/>
    <w:rsid w:val="00032272"/>
    <w:rsid w:val="00034C30"/>
    <w:rsid w:val="00052D30"/>
    <w:rsid w:val="00077074"/>
    <w:rsid w:val="00084A07"/>
    <w:rsid w:val="0009299D"/>
    <w:rsid w:val="00096CD8"/>
    <w:rsid w:val="00096EDD"/>
    <w:rsid w:val="000970A5"/>
    <w:rsid w:val="000A2249"/>
    <w:rsid w:val="000E1733"/>
    <w:rsid w:val="000E6AB2"/>
    <w:rsid w:val="001079F1"/>
    <w:rsid w:val="00132373"/>
    <w:rsid w:val="0013310A"/>
    <w:rsid w:val="001334AC"/>
    <w:rsid w:val="001849A1"/>
    <w:rsid w:val="00193FA8"/>
    <w:rsid w:val="001A246F"/>
    <w:rsid w:val="001B0A01"/>
    <w:rsid w:val="001C615B"/>
    <w:rsid w:val="001D0689"/>
    <w:rsid w:val="001D2B04"/>
    <w:rsid w:val="001E209B"/>
    <w:rsid w:val="0022543F"/>
    <w:rsid w:val="00232627"/>
    <w:rsid w:val="002355DE"/>
    <w:rsid w:val="00254B1B"/>
    <w:rsid w:val="00273238"/>
    <w:rsid w:val="00285B6C"/>
    <w:rsid w:val="00286839"/>
    <w:rsid w:val="00293D72"/>
    <w:rsid w:val="00295099"/>
    <w:rsid w:val="0029538A"/>
    <w:rsid w:val="002C6239"/>
    <w:rsid w:val="002C7FFA"/>
    <w:rsid w:val="002D3F90"/>
    <w:rsid w:val="002E7EF7"/>
    <w:rsid w:val="002F0D99"/>
    <w:rsid w:val="00302CAA"/>
    <w:rsid w:val="00304193"/>
    <w:rsid w:val="00310D44"/>
    <w:rsid w:val="00312C72"/>
    <w:rsid w:val="00321182"/>
    <w:rsid w:val="003237C7"/>
    <w:rsid w:val="00340083"/>
    <w:rsid w:val="003631E5"/>
    <w:rsid w:val="00371482"/>
    <w:rsid w:val="00374967"/>
    <w:rsid w:val="00376D48"/>
    <w:rsid w:val="003854CF"/>
    <w:rsid w:val="00385895"/>
    <w:rsid w:val="003971D4"/>
    <w:rsid w:val="003A0902"/>
    <w:rsid w:val="003B001A"/>
    <w:rsid w:val="003B2F72"/>
    <w:rsid w:val="003B714A"/>
    <w:rsid w:val="003C17A7"/>
    <w:rsid w:val="003C4D06"/>
    <w:rsid w:val="003D115C"/>
    <w:rsid w:val="003D2B05"/>
    <w:rsid w:val="003D3F61"/>
    <w:rsid w:val="003E1587"/>
    <w:rsid w:val="003E2765"/>
    <w:rsid w:val="003F5D80"/>
    <w:rsid w:val="004160A4"/>
    <w:rsid w:val="0041681D"/>
    <w:rsid w:val="004176DA"/>
    <w:rsid w:val="00420760"/>
    <w:rsid w:val="00445B7D"/>
    <w:rsid w:val="00447935"/>
    <w:rsid w:val="00450D1D"/>
    <w:rsid w:val="0046423D"/>
    <w:rsid w:val="0047621D"/>
    <w:rsid w:val="00491934"/>
    <w:rsid w:val="004A07F9"/>
    <w:rsid w:val="004B1BD2"/>
    <w:rsid w:val="004B2F88"/>
    <w:rsid w:val="004C55CE"/>
    <w:rsid w:val="004F649A"/>
    <w:rsid w:val="00500309"/>
    <w:rsid w:val="00512654"/>
    <w:rsid w:val="00520D2C"/>
    <w:rsid w:val="00522319"/>
    <w:rsid w:val="00524426"/>
    <w:rsid w:val="005502D2"/>
    <w:rsid w:val="00555AFC"/>
    <w:rsid w:val="00557831"/>
    <w:rsid w:val="00584904"/>
    <w:rsid w:val="005974AC"/>
    <w:rsid w:val="005A1A75"/>
    <w:rsid w:val="005A22DC"/>
    <w:rsid w:val="005B02E1"/>
    <w:rsid w:val="005B270F"/>
    <w:rsid w:val="005C200F"/>
    <w:rsid w:val="005C455C"/>
    <w:rsid w:val="005C7CA1"/>
    <w:rsid w:val="005D7EBE"/>
    <w:rsid w:val="005E564A"/>
    <w:rsid w:val="005E5F16"/>
    <w:rsid w:val="006012B6"/>
    <w:rsid w:val="00603554"/>
    <w:rsid w:val="00610B9F"/>
    <w:rsid w:val="00613F9E"/>
    <w:rsid w:val="0061546C"/>
    <w:rsid w:val="00617A84"/>
    <w:rsid w:val="006231FC"/>
    <w:rsid w:val="00624F9F"/>
    <w:rsid w:val="00641AC8"/>
    <w:rsid w:val="0064640E"/>
    <w:rsid w:val="0065690D"/>
    <w:rsid w:val="00662911"/>
    <w:rsid w:val="00670FFA"/>
    <w:rsid w:val="0067645C"/>
    <w:rsid w:val="00695AE3"/>
    <w:rsid w:val="006A767D"/>
    <w:rsid w:val="006B2879"/>
    <w:rsid w:val="006B6072"/>
    <w:rsid w:val="006B7EB7"/>
    <w:rsid w:val="006C13BC"/>
    <w:rsid w:val="006C4E07"/>
    <w:rsid w:val="006E1505"/>
    <w:rsid w:val="006F3DAA"/>
    <w:rsid w:val="0070671F"/>
    <w:rsid w:val="00713F39"/>
    <w:rsid w:val="00745EA1"/>
    <w:rsid w:val="00781480"/>
    <w:rsid w:val="0078759A"/>
    <w:rsid w:val="00797001"/>
    <w:rsid w:val="007B15E3"/>
    <w:rsid w:val="007C0928"/>
    <w:rsid w:val="007C7FE6"/>
    <w:rsid w:val="007D544E"/>
    <w:rsid w:val="007F235F"/>
    <w:rsid w:val="007F4271"/>
    <w:rsid w:val="007F5FC0"/>
    <w:rsid w:val="00801280"/>
    <w:rsid w:val="0080332C"/>
    <w:rsid w:val="00804F83"/>
    <w:rsid w:val="00810782"/>
    <w:rsid w:val="00810D53"/>
    <w:rsid w:val="00821D92"/>
    <w:rsid w:val="0088368B"/>
    <w:rsid w:val="00891F3A"/>
    <w:rsid w:val="008929EA"/>
    <w:rsid w:val="008A6D8F"/>
    <w:rsid w:val="008B7C8C"/>
    <w:rsid w:val="008C3D30"/>
    <w:rsid w:val="008C4C26"/>
    <w:rsid w:val="008D2B8E"/>
    <w:rsid w:val="008D7094"/>
    <w:rsid w:val="008E3ADD"/>
    <w:rsid w:val="00910696"/>
    <w:rsid w:val="009234B5"/>
    <w:rsid w:val="00925C42"/>
    <w:rsid w:val="00930954"/>
    <w:rsid w:val="0093216C"/>
    <w:rsid w:val="0095602C"/>
    <w:rsid w:val="00965A38"/>
    <w:rsid w:val="0097492A"/>
    <w:rsid w:val="00983ACB"/>
    <w:rsid w:val="009944FC"/>
    <w:rsid w:val="009A60F1"/>
    <w:rsid w:val="009A6B0C"/>
    <w:rsid w:val="009A72AF"/>
    <w:rsid w:val="009C1AEE"/>
    <w:rsid w:val="009D5A09"/>
    <w:rsid w:val="009D7EBD"/>
    <w:rsid w:val="009E5ED6"/>
    <w:rsid w:val="009F640B"/>
    <w:rsid w:val="00A22F48"/>
    <w:rsid w:val="00A334DA"/>
    <w:rsid w:val="00A3729A"/>
    <w:rsid w:val="00A5581A"/>
    <w:rsid w:val="00A5792E"/>
    <w:rsid w:val="00A65E2C"/>
    <w:rsid w:val="00A864BE"/>
    <w:rsid w:val="00A93EB7"/>
    <w:rsid w:val="00AA095E"/>
    <w:rsid w:val="00AA0EA6"/>
    <w:rsid w:val="00AB281B"/>
    <w:rsid w:val="00AC4C4B"/>
    <w:rsid w:val="00AE30ED"/>
    <w:rsid w:val="00AE36DF"/>
    <w:rsid w:val="00AF12E6"/>
    <w:rsid w:val="00AF185A"/>
    <w:rsid w:val="00B026F6"/>
    <w:rsid w:val="00B0389E"/>
    <w:rsid w:val="00B07E11"/>
    <w:rsid w:val="00B134C1"/>
    <w:rsid w:val="00B30F5A"/>
    <w:rsid w:val="00B3115A"/>
    <w:rsid w:val="00B3406B"/>
    <w:rsid w:val="00B35AA9"/>
    <w:rsid w:val="00B434E1"/>
    <w:rsid w:val="00B446CD"/>
    <w:rsid w:val="00B50E15"/>
    <w:rsid w:val="00B559B8"/>
    <w:rsid w:val="00B559BB"/>
    <w:rsid w:val="00B75B8C"/>
    <w:rsid w:val="00B762DA"/>
    <w:rsid w:val="00B778E8"/>
    <w:rsid w:val="00B82AEC"/>
    <w:rsid w:val="00B862BB"/>
    <w:rsid w:val="00B95C7D"/>
    <w:rsid w:val="00BA58EF"/>
    <w:rsid w:val="00BB12CD"/>
    <w:rsid w:val="00C031EA"/>
    <w:rsid w:val="00C032B5"/>
    <w:rsid w:val="00C05455"/>
    <w:rsid w:val="00C4397D"/>
    <w:rsid w:val="00C536B2"/>
    <w:rsid w:val="00C7139A"/>
    <w:rsid w:val="00C81292"/>
    <w:rsid w:val="00C97ABA"/>
    <w:rsid w:val="00CD0896"/>
    <w:rsid w:val="00CE0CEC"/>
    <w:rsid w:val="00CE2AC5"/>
    <w:rsid w:val="00CE64F5"/>
    <w:rsid w:val="00CF201D"/>
    <w:rsid w:val="00CF69E9"/>
    <w:rsid w:val="00CF70BE"/>
    <w:rsid w:val="00D13123"/>
    <w:rsid w:val="00D25523"/>
    <w:rsid w:val="00D359B7"/>
    <w:rsid w:val="00D402AE"/>
    <w:rsid w:val="00D54597"/>
    <w:rsid w:val="00D83B2F"/>
    <w:rsid w:val="00D9637B"/>
    <w:rsid w:val="00DA08EE"/>
    <w:rsid w:val="00DA2D64"/>
    <w:rsid w:val="00DB543F"/>
    <w:rsid w:val="00DB673E"/>
    <w:rsid w:val="00DC1883"/>
    <w:rsid w:val="00DC50EB"/>
    <w:rsid w:val="00DD0A7D"/>
    <w:rsid w:val="00DD0AF3"/>
    <w:rsid w:val="00DF1B7C"/>
    <w:rsid w:val="00DF20CB"/>
    <w:rsid w:val="00DF289F"/>
    <w:rsid w:val="00E002FC"/>
    <w:rsid w:val="00E03D97"/>
    <w:rsid w:val="00E045ED"/>
    <w:rsid w:val="00E05B98"/>
    <w:rsid w:val="00E16BED"/>
    <w:rsid w:val="00E20976"/>
    <w:rsid w:val="00E219F9"/>
    <w:rsid w:val="00E24CD6"/>
    <w:rsid w:val="00E27AA3"/>
    <w:rsid w:val="00E4455F"/>
    <w:rsid w:val="00E50FB4"/>
    <w:rsid w:val="00E574C7"/>
    <w:rsid w:val="00E643A8"/>
    <w:rsid w:val="00E70428"/>
    <w:rsid w:val="00E76161"/>
    <w:rsid w:val="00E92734"/>
    <w:rsid w:val="00EC713D"/>
    <w:rsid w:val="00EE4C17"/>
    <w:rsid w:val="00EE65D6"/>
    <w:rsid w:val="00EF3DC3"/>
    <w:rsid w:val="00F014F4"/>
    <w:rsid w:val="00F05FBF"/>
    <w:rsid w:val="00F06DDD"/>
    <w:rsid w:val="00F15893"/>
    <w:rsid w:val="00F21963"/>
    <w:rsid w:val="00F24404"/>
    <w:rsid w:val="00F275D0"/>
    <w:rsid w:val="00F31626"/>
    <w:rsid w:val="00F37BF0"/>
    <w:rsid w:val="00F603EF"/>
    <w:rsid w:val="00F62875"/>
    <w:rsid w:val="00F67126"/>
    <w:rsid w:val="00F673DC"/>
    <w:rsid w:val="00F701A8"/>
    <w:rsid w:val="00F72E25"/>
    <w:rsid w:val="00F968AB"/>
    <w:rsid w:val="00FA1D19"/>
    <w:rsid w:val="00FC0E60"/>
    <w:rsid w:val="00FC1427"/>
    <w:rsid w:val="00FC217E"/>
    <w:rsid w:val="00FF1121"/>
    <w:rsid w:val="00FF58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D3F61"/>
    <w:pPr>
      <w:widowControl w:val="0"/>
      <w:jc w:val="both"/>
    </w:pPr>
  </w:style>
  <w:style w:type="paragraph" w:styleId="1">
    <w:name w:val="heading 1"/>
    <w:aliases w:val="标题 1 1,标题7,章标题 1,h1,1st level,Section Head,l1,标题yjm1,章节标题,式样b,标题 1 Char Char,标题 1 Char1,白鹤滩标题 1,-*+,b1,H1,Header1,1.标题 1,Heading 0,Fab-1,PIM 1,标题 1XW,标书1,标题一,Head1,Heading apps,合同标题,卷标题,Datasheet title,H11,H12,H13,H14,H15,H16,H17,篇,标题22,1"/>
    <w:basedOn w:val="a1"/>
    <w:next w:val="a1"/>
    <w:link w:val="1Char2"/>
    <w:qFormat/>
    <w:rsid w:val="00096CD8"/>
    <w:pPr>
      <w:keepNext/>
      <w:keepLines/>
      <w:spacing w:before="24" w:after="40" w:line="480" w:lineRule="auto"/>
      <w:jc w:val="center"/>
      <w:outlineLvl w:val="0"/>
    </w:pPr>
    <w:rPr>
      <w:rFonts w:ascii="宋体" w:eastAsia="宋体" w:hAnsi="宋体" w:cs="Times New Roman"/>
      <w:b/>
      <w:bCs/>
      <w:kern w:val="44"/>
      <w:sz w:val="44"/>
      <w:szCs w:val="44"/>
    </w:rPr>
  </w:style>
  <w:style w:type="paragraph" w:styleId="2">
    <w:name w:val="heading 2"/>
    <w:basedOn w:val="a1"/>
    <w:next w:val="a1"/>
    <w:link w:val="2Char"/>
    <w:uiPriority w:val="9"/>
    <w:semiHidden/>
    <w:unhideWhenUsed/>
    <w:qFormat/>
    <w:rsid w:val="00096ED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Char"/>
    <w:uiPriority w:val="9"/>
    <w:semiHidden/>
    <w:unhideWhenUsed/>
    <w:qFormat/>
    <w:rsid w:val="00096CD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7">
    <w:name w:val="heading 7"/>
    <w:basedOn w:val="a1"/>
    <w:next w:val="a1"/>
    <w:link w:val="7Char"/>
    <w:uiPriority w:val="9"/>
    <w:semiHidden/>
    <w:unhideWhenUsed/>
    <w:qFormat/>
    <w:rsid w:val="00491934"/>
    <w:pPr>
      <w:keepNext/>
      <w:keepLines/>
      <w:spacing w:before="240" w:after="64" w:line="320" w:lineRule="auto"/>
      <w:outlineLvl w:val="6"/>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096CD8"/>
    <w:rPr>
      <w:b/>
      <w:bCs/>
      <w:kern w:val="44"/>
      <w:sz w:val="44"/>
      <w:szCs w:val="44"/>
    </w:rPr>
  </w:style>
  <w:style w:type="character" w:customStyle="1" w:styleId="1Char2">
    <w:name w:val="标题 1 Char2"/>
    <w:aliases w:val="标题 1 1 Char,标题7 Char,章标题 1 Char,h1 Char,1st level Char,Section Head Char,l1 Char,标题yjm1 Char,章节标题 Char,式样b Char,标题 1 Char Char Char,标题 1 Char1 Char,白鹤滩标题 1 Char,-*+ Char,b1 Char,H1 Char,Header1 Char,1.标题 1 Char,Heading 0 Char,Fab-1 Char"/>
    <w:link w:val="1"/>
    <w:rsid w:val="00096CD8"/>
    <w:rPr>
      <w:rFonts w:ascii="宋体" w:eastAsia="宋体" w:hAnsi="宋体" w:cs="Times New Roman"/>
      <w:b/>
      <w:bCs/>
      <w:kern w:val="44"/>
      <w:sz w:val="44"/>
      <w:szCs w:val="44"/>
    </w:rPr>
  </w:style>
  <w:style w:type="paragraph" w:customStyle="1" w:styleId="a0">
    <w:name w:val="四级标题格式"/>
    <w:basedOn w:val="4"/>
    <w:autoRedefine/>
    <w:qFormat/>
    <w:rsid w:val="00096CD8"/>
    <w:pPr>
      <w:keepNext w:val="0"/>
      <w:keepLines w:val="0"/>
      <w:numPr>
        <w:ilvl w:val="3"/>
        <w:numId w:val="1"/>
      </w:numPr>
      <w:tabs>
        <w:tab w:val="left" w:pos="1134"/>
      </w:tabs>
      <w:adjustRightInd w:val="0"/>
      <w:snapToGrid w:val="0"/>
      <w:spacing w:beforeLines="50" w:afterLines="50" w:line="400" w:lineRule="exact"/>
    </w:pPr>
    <w:rPr>
      <w:rFonts w:ascii="宋体" w:eastAsia="宋体" w:hAnsi="宋体" w:cs="Times New Roman"/>
      <w:sz w:val="24"/>
      <w:szCs w:val="24"/>
    </w:rPr>
  </w:style>
  <w:style w:type="character" w:customStyle="1" w:styleId="4Char">
    <w:name w:val="标题 4 Char"/>
    <w:basedOn w:val="a2"/>
    <w:link w:val="4"/>
    <w:uiPriority w:val="9"/>
    <w:semiHidden/>
    <w:rsid w:val="00096CD8"/>
    <w:rPr>
      <w:rFonts w:asciiTheme="majorHAnsi" w:eastAsiaTheme="majorEastAsia" w:hAnsiTheme="majorHAnsi" w:cstheme="majorBidi"/>
      <w:b/>
      <w:bCs/>
      <w:sz w:val="28"/>
      <w:szCs w:val="28"/>
    </w:rPr>
  </w:style>
  <w:style w:type="paragraph" w:styleId="a5">
    <w:name w:val="Document Map"/>
    <w:basedOn w:val="a1"/>
    <w:link w:val="Char"/>
    <w:semiHidden/>
    <w:unhideWhenUsed/>
    <w:rsid w:val="00096CD8"/>
    <w:rPr>
      <w:rFonts w:ascii="宋体" w:eastAsia="宋体"/>
      <w:sz w:val="18"/>
      <w:szCs w:val="18"/>
    </w:rPr>
  </w:style>
  <w:style w:type="character" w:customStyle="1" w:styleId="Char">
    <w:name w:val="文档结构图 Char"/>
    <w:basedOn w:val="a2"/>
    <w:link w:val="a5"/>
    <w:uiPriority w:val="99"/>
    <w:semiHidden/>
    <w:rsid w:val="00096CD8"/>
    <w:rPr>
      <w:rFonts w:ascii="宋体" w:eastAsia="宋体"/>
      <w:sz w:val="18"/>
      <w:szCs w:val="18"/>
    </w:rPr>
  </w:style>
  <w:style w:type="paragraph" w:customStyle="1" w:styleId="a6">
    <w:name w:val="文章"/>
    <w:basedOn w:val="a1"/>
    <w:autoRedefine/>
    <w:locked/>
    <w:rsid w:val="008D7094"/>
    <w:pPr>
      <w:adjustRightInd w:val="0"/>
      <w:snapToGrid w:val="0"/>
      <w:spacing w:afterLines="20" w:line="400" w:lineRule="exact"/>
      <w:ind w:firstLineChars="200" w:firstLine="480"/>
    </w:pPr>
    <w:rPr>
      <w:rFonts w:ascii="Times New Roman" w:hAnsiTheme="minorEastAsia" w:cs="Times New Roman"/>
      <w:bCs/>
      <w:color w:val="000000"/>
      <w:kern w:val="0"/>
      <w:sz w:val="24"/>
      <w:szCs w:val="24"/>
      <w:lang w:bidi="he-IL"/>
    </w:rPr>
  </w:style>
  <w:style w:type="character" w:customStyle="1" w:styleId="7Char">
    <w:name w:val="标题 7 Char"/>
    <w:basedOn w:val="a2"/>
    <w:link w:val="7"/>
    <w:rsid w:val="00491934"/>
    <w:rPr>
      <w:b/>
      <w:bCs/>
      <w:sz w:val="24"/>
      <w:szCs w:val="24"/>
    </w:rPr>
  </w:style>
  <w:style w:type="character" w:styleId="a7">
    <w:name w:val="annotation reference"/>
    <w:semiHidden/>
    <w:rsid w:val="005D7EBE"/>
    <w:rPr>
      <w:sz w:val="21"/>
      <w:szCs w:val="21"/>
    </w:rPr>
  </w:style>
  <w:style w:type="character" w:customStyle="1" w:styleId="2Char">
    <w:name w:val="标题 2 Char"/>
    <w:basedOn w:val="a2"/>
    <w:link w:val="2"/>
    <w:uiPriority w:val="9"/>
    <w:semiHidden/>
    <w:rsid w:val="00096EDD"/>
    <w:rPr>
      <w:rFonts w:asciiTheme="majorHAnsi" w:eastAsiaTheme="majorEastAsia" w:hAnsiTheme="majorHAnsi" w:cstheme="majorBidi"/>
      <w:b/>
      <w:bCs/>
      <w:sz w:val="32"/>
      <w:szCs w:val="32"/>
    </w:rPr>
  </w:style>
  <w:style w:type="paragraph" w:customStyle="1" w:styleId="a">
    <w:name w:val="块强调"/>
    <w:basedOn w:val="a6"/>
    <w:rsid w:val="00096EDD"/>
    <w:pPr>
      <w:widowControl/>
      <w:numPr>
        <w:numId w:val="3"/>
      </w:numPr>
      <w:spacing w:before="60" w:after="60"/>
      <w:ind w:firstLine="0"/>
    </w:pPr>
    <w:rPr>
      <w:rFonts w:eastAsia="宋体" w:hAnsi="Times New Roman"/>
      <w:bCs w:val="0"/>
      <w:color w:val="0000FF"/>
      <w:szCs w:val="20"/>
      <w:lang w:bidi="ar-SA"/>
    </w:rPr>
  </w:style>
  <w:style w:type="paragraph" w:styleId="a8">
    <w:name w:val="List Paragraph"/>
    <w:basedOn w:val="a1"/>
    <w:uiPriority w:val="34"/>
    <w:qFormat/>
    <w:rsid w:val="0022543F"/>
    <w:pPr>
      <w:ind w:firstLineChars="200" w:firstLine="420"/>
    </w:pPr>
  </w:style>
  <w:style w:type="paragraph" w:styleId="a9">
    <w:name w:val="Normal Indent"/>
    <w:aliases w:val="表格标题,文本条款,正文（首行缩进两字） Char Char Char Char Char Char Char,正文缩进1,正文（首行缩进两字） Char,正文（首行缩进两字） Char Char Char Char Char Char,表正文,正文非缩进,标题4,s4,正文不缩进,正文（首行缩进两字） Char Char,正文（首行缩进两字） Char Char Char Char Char,正文（首行缩进两字）,首行缩进两字,特点,通用正文缩进 Char Char,正文缩进 Char,图"/>
    <w:basedOn w:val="a1"/>
    <w:rsid w:val="0067645C"/>
    <w:pPr>
      <w:ind w:firstLine="420"/>
    </w:pPr>
    <w:rPr>
      <w:rFonts w:ascii="Times New Roman" w:eastAsia="宋体" w:hAnsi="Times New Roman" w:cs="Times New Roman"/>
      <w:szCs w:val="20"/>
    </w:rPr>
  </w:style>
  <w:style w:type="character" w:styleId="aa">
    <w:name w:val="page number"/>
    <w:basedOn w:val="a2"/>
    <w:rsid w:val="00A864BE"/>
  </w:style>
  <w:style w:type="paragraph" w:styleId="10">
    <w:name w:val="toc 1"/>
    <w:basedOn w:val="a1"/>
    <w:next w:val="a1"/>
    <w:autoRedefine/>
    <w:uiPriority w:val="39"/>
    <w:unhideWhenUsed/>
    <w:rsid w:val="006F3DAA"/>
  </w:style>
  <w:style w:type="paragraph" w:styleId="20">
    <w:name w:val="toc 2"/>
    <w:basedOn w:val="a1"/>
    <w:next w:val="a1"/>
    <w:autoRedefine/>
    <w:uiPriority w:val="39"/>
    <w:unhideWhenUsed/>
    <w:rsid w:val="006F3DAA"/>
    <w:pPr>
      <w:ind w:leftChars="200" w:left="420"/>
    </w:pPr>
  </w:style>
  <w:style w:type="character" w:styleId="ab">
    <w:name w:val="Hyperlink"/>
    <w:basedOn w:val="a2"/>
    <w:uiPriority w:val="99"/>
    <w:unhideWhenUsed/>
    <w:rsid w:val="006F3DAA"/>
    <w:rPr>
      <w:color w:val="0000FF" w:themeColor="hyperlink"/>
      <w:u w:val="single"/>
    </w:rPr>
  </w:style>
  <w:style w:type="paragraph" w:styleId="ac">
    <w:name w:val="header"/>
    <w:basedOn w:val="a1"/>
    <w:link w:val="Char0"/>
    <w:uiPriority w:val="99"/>
    <w:semiHidden/>
    <w:unhideWhenUsed/>
    <w:rsid w:val="006F3D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c"/>
    <w:uiPriority w:val="99"/>
    <w:semiHidden/>
    <w:rsid w:val="006F3DAA"/>
    <w:rPr>
      <w:sz w:val="18"/>
      <w:szCs w:val="18"/>
    </w:rPr>
  </w:style>
  <w:style w:type="paragraph" w:styleId="ad">
    <w:name w:val="footer"/>
    <w:basedOn w:val="a1"/>
    <w:link w:val="Char1"/>
    <w:uiPriority w:val="99"/>
    <w:semiHidden/>
    <w:unhideWhenUsed/>
    <w:rsid w:val="006F3DAA"/>
    <w:pPr>
      <w:tabs>
        <w:tab w:val="center" w:pos="4153"/>
        <w:tab w:val="right" w:pos="8306"/>
      </w:tabs>
      <w:snapToGrid w:val="0"/>
      <w:jc w:val="left"/>
    </w:pPr>
    <w:rPr>
      <w:sz w:val="18"/>
      <w:szCs w:val="18"/>
    </w:rPr>
  </w:style>
  <w:style w:type="character" w:customStyle="1" w:styleId="Char1">
    <w:name w:val="页脚 Char"/>
    <w:basedOn w:val="a2"/>
    <w:link w:val="ad"/>
    <w:uiPriority w:val="99"/>
    <w:semiHidden/>
    <w:rsid w:val="006F3DAA"/>
    <w:rPr>
      <w:sz w:val="18"/>
      <w:szCs w:val="18"/>
    </w:rPr>
  </w:style>
  <w:style w:type="paragraph" w:styleId="ae">
    <w:name w:val="Balloon Text"/>
    <w:basedOn w:val="a1"/>
    <w:link w:val="Char2"/>
    <w:uiPriority w:val="99"/>
    <w:semiHidden/>
    <w:unhideWhenUsed/>
    <w:rsid w:val="0029538A"/>
    <w:rPr>
      <w:sz w:val="18"/>
      <w:szCs w:val="18"/>
    </w:rPr>
  </w:style>
  <w:style w:type="character" w:customStyle="1" w:styleId="Char2">
    <w:name w:val="批注框文本 Char"/>
    <w:basedOn w:val="a2"/>
    <w:link w:val="ae"/>
    <w:uiPriority w:val="99"/>
    <w:semiHidden/>
    <w:rsid w:val="0029538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182318E-E1F2-4A0A-B4CC-EC69FAE5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501</Words>
  <Characters>2859</Characters>
  <Application>Microsoft Office Word</Application>
  <DocSecurity>0</DocSecurity>
  <Lines>23</Lines>
  <Paragraphs>6</Paragraphs>
  <ScaleCrop>false</ScaleCrop>
  <Company>微软中国</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13</cp:revision>
  <cp:lastPrinted>2015-12-28T07:03:00Z</cp:lastPrinted>
  <dcterms:created xsi:type="dcterms:W3CDTF">2015-12-28T01:38:00Z</dcterms:created>
  <dcterms:modified xsi:type="dcterms:W3CDTF">2015-12-28T08:17:00Z</dcterms:modified>
</cp:coreProperties>
</file>