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3F" w:rsidRDefault="00576497">
      <w:pPr>
        <w:jc w:val="left"/>
        <w:rPr>
          <w:rFonts w:ascii="仿宋" w:eastAsia="仿宋" w:hAnsi="仿宋" w:cs="仿宋"/>
          <w:sz w:val="32"/>
          <w:szCs w:val="32"/>
        </w:rPr>
      </w:pPr>
      <w:r>
        <w:rPr>
          <w:rFonts w:ascii="仿宋" w:eastAsia="仿宋" w:hAnsi="仿宋" w:cs="仿宋" w:hint="eastAsia"/>
          <w:sz w:val="32"/>
          <w:szCs w:val="32"/>
        </w:rPr>
        <w:t>附件：</w:t>
      </w:r>
    </w:p>
    <w:p w:rsidR="00F0713F" w:rsidRDefault="00576497" w:rsidP="003C2DD6">
      <w:pPr>
        <w:jc w:val="center"/>
      </w:pPr>
      <w:r>
        <w:rPr>
          <w:rFonts w:asciiTheme="majorEastAsia" w:eastAsiaTheme="majorEastAsia" w:hAnsiTheme="majorEastAsia" w:cstheme="majorEastAsia" w:hint="eastAsia"/>
          <w:b/>
          <w:bCs/>
          <w:sz w:val="44"/>
          <w:szCs w:val="44"/>
        </w:rPr>
        <w:t>2019年度拟推荐中国铁道学会科学技术奖项目基本情况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814"/>
        <w:gridCol w:w="40"/>
        <w:gridCol w:w="921"/>
        <w:gridCol w:w="166"/>
        <w:gridCol w:w="1107"/>
        <w:gridCol w:w="502"/>
        <w:gridCol w:w="650"/>
        <w:gridCol w:w="745"/>
        <w:gridCol w:w="161"/>
        <w:gridCol w:w="219"/>
        <w:gridCol w:w="1763"/>
        <w:gridCol w:w="13"/>
      </w:tblGrid>
      <w:tr w:rsidR="00F0713F">
        <w:trPr>
          <w:trHeight w:val="489"/>
        </w:trPr>
        <w:tc>
          <w:tcPr>
            <w:tcW w:w="1421" w:type="dxa"/>
            <w:vAlign w:val="center"/>
          </w:tcPr>
          <w:p w:rsidR="00F0713F" w:rsidRDefault="00576497">
            <w:pPr>
              <w:jc w:val="center"/>
              <w:rPr>
                <w:rFonts w:ascii="仿宋" w:eastAsia="仿宋" w:hAnsi="仿宋" w:cs="仿宋"/>
                <w:color w:val="000000"/>
                <w:sz w:val="24"/>
              </w:rPr>
            </w:pPr>
            <w:r>
              <w:rPr>
                <w:rFonts w:ascii="仿宋" w:eastAsia="仿宋" w:hAnsi="仿宋" w:cs="仿宋" w:hint="eastAsia"/>
                <w:sz w:val="24"/>
              </w:rPr>
              <w:t>项目名称</w:t>
            </w:r>
          </w:p>
        </w:tc>
        <w:tc>
          <w:tcPr>
            <w:tcW w:w="7101" w:type="dxa"/>
            <w:gridSpan w:val="12"/>
            <w:vAlign w:val="center"/>
          </w:tcPr>
          <w:p w:rsidR="00F0713F" w:rsidRDefault="00576497">
            <w:pPr>
              <w:jc w:val="center"/>
              <w:rPr>
                <w:rFonts w:ascii="仿宋" w:eastAsia="仿宋" w:hAnsi="仿宋" w:cs="仿宋"/>
                <w:color w:val="000000"/>
                <w:sz w:val="24"/>
              </w:rPr>
            </w:pPr>
            <w:r>
              <w:rPr>
                <w:rFonts w:ascii="仿宋" w:eastAsia="仿宋" w:hAnsi="仿宋" w:cs="仿宋" w:hint="eastAsia"/>
                <w:color w:val="000000"/>
                <w:sz w:val="24"/>
              </w:rPr>
              <w:t>地铁车辆基地关键技术创新及工程应用</w:t>
            </w:r>
          </w:p>
        </w:tc>
      </w:tr>
      <w:tr w:rsidR="00F0713F">
        <w:trPr>
          <w:trHeight w:val="682"/>
        </w:trPr>
        <w:tc>
          <w:tcPr>
            <w:tcW w:w="1421" w:type="dxa"/>
            <w:vAlign w:val="center"/>
          </w:tcPr>
          <w:p w:rsidR="00F0713F" w:rsidRDefault="00576497">
            <w:pPr>
              <w:jc w:val="center"/>
              <w:rPr>
                <w:rFonts w:ascii="仿宋" w:eastAsia="仿宋" w:hAnsi="仿宋" w:cs="仿宋"/>
                <w:color w:val="000000"/>
                <w:sz w:val="24"/>
              </w:rPr>
            </w:pPr>
            <w:r>
              <w:rPr>
                <w:rFonts w:ascii="仿宋" w:eastAsia="仿宋" w:hAnsi="仿宋" w:cs="仿宋" w:hint="eastAsia"/>
                <w:sz w:val="24"/>
              </w:rPr>
              <w:t>完成单位</w:t>
            </w:r>
          </w:p>
        </w:tc>
        <w:tc>
          <w:tcPr>
            <w:tcW w:w="7101" w:type="dxa"/>
            <w:gridSpan w:val="12"/>
            <w:vAlign w:val="center"/>
          </w:tcPr>
          <w:p w:rsidR="00F0713F" w:rsidRDefault="00576497">
            <w:pPr>
              <w:jc w:val="center"/>
              <w:rPr>
                <w:rFonts w:ascii="仿宋" w:eastAsia="仿宋" w:hAnsi="仿宋" w:cs="仿宋"/>
                <w:color w:val="000000"/>
                <w:sz w:val="24"/>
              </w:rPr>
            </w:pPr>
            <w:r>
              <w:rPr>
                <w:rFonts w:ascii="仿宋" w:eastAsia="仿宋" w:hAnsi="仿宋" w:cs="仿宋" w:hint="eastAsia"/>
                <w:color w:val="000000"/>
                <w:sz w:val="24"/>
              </w:rPr>
              <w:t>苏州市轨道交通集团有限公司、中铁第四勘察设计院集团有限公司、启迪设计集团股份有限公司、北京新联铁集团股份有限公司、中车青岛四方车辆研究所有限公司</w:t>
            </w:r>
          </w:p>
        </w:tc>
      </w:tr>
      <w:tr w:rsidR="00F0713F">
        <w:trPr>
          <w:trHeight w:val="682"/>
        </w:trPr>
        <w:tc>
          <w:tcPr>
            <w:tcW w:w="1421" w:type="dxa"/>
            <w:vAlign w:val="center"/>
          </w:tcPr>
          <w:p w:rsidR="00F0713F" w:rsidRDefault="00576497">
            <w:pPr>
              <w:jc w:val="center"/>
              <w:rPr>
                <w:rFonts w:ascii="仿宋" w:eastAsia="仿宋" w:hAnsi="仿宋" w:cs="仿宋"/>
                <w:color w:val="000000"/>
                <w:sz w:val="24"/>
              </w:rPr>
            </w:pPr>
            <w:r>
              <w:rPr>
                <w:rFonts w:ascii="仿宋" w:eastAsia="仿宋" w:hAnsi="仿宋" w:cs="仿宋" w:hint="eastAsia"/>
                <w:sz w:val="24"/>
              </w:rPr>
              <w:t>完成人</w:t>
            </w:r>
          </w:p>
        </w:tc>
        <w:tc>
          <w:tcPr>
            <w:tcW w:w="7101" w:type="dxa"/>
            <w:gridSpan w:val="12"/>
            <w:shd w:val="clear" w:color="auto" w:fill="auto"/>
            <w:vAlign w:val="center"/>
          </w:tcPr>
          <w:p w:rsidR="00F0713F" w:rsidRDefault="00576497">
            <w:pPr>
              <w:widowControl/>
              <w:jc w:val="center"/>
              <w:rPr>
                <w:rFonts w:ascii="仿宋" w:eastAsia="仿宋" w:hAnsi="仿宋" w:cs="仿宋"/>
                <w:color w:val="000000"/>
                <w:sz w:val="24"/>
              </w:rPr>
            </w:pPr>
            <w:r>
              <w:rPr>
                <w:rFonts w:ascii="仿宋" w:eastAsia="仿宋" w:hAnsi="仿宋" w:cs="仿宋" w:hint="eastAsia"/>
                <w:color w:val="000000"/>
                <w:spacing w:val="-6"/>
                <w:sz w:val="24"/>
              </w:rPr>
              <w:t>周明保、张浩、王占生、张敏、朱宁、王庆亮、舒冬、梅震琨、郭享、谭琼亮</w:t>
            </w:r>
          </w:p>
        </w:tc>
      </w:tr>
      <w:tr w:rsidR="00F0713F">
        <w:trPr>
          <w:trHeight w:val="682"/>
        </w:trPr>
        <w:tc>
          <w:tcPr>
            <w:tcW w:w="1421" w:type="dxa"/>
            <w:vAlign w:val="center"/>
          </w:tcPr>
          <w:p w:rsidR="00F0713F" w:rsidRDefault="00576497">
            <w:pPr>
              <w:jc w:val="center"/>
              <w:rPr>
                <w:rFonts w:ascii="仿宋" w:eastAsia="仿宋" w:hAnsi="仿宋" w:cs="仿宋"/>
                <w:sz w:val="24"/>
              </w:rPr>
            </w:pPr>
            <w:r>
              <w:rPr>
                <w:rFonts w:ascii="仿宋" w:eastAsia="仿宋" w:hAnsi="仿宋" w:cs="仿宋" w:hint="eastAsia"/>
                <w:sz w:val="24"/>
              </w:rPr>
              <w:t>拟推荐等级</w:t>
            </w:r>
          </w:p>
        </w:tc>
        <w:tc>
          <w:tcPr>
            <w:tcW w:w="7101" w:type="dxa"/>
            <w:gridSpan w:val="12"/>
            <w:shd w:val="clear" w:color="auto" w:fill="auto"/>
            <w:vAlign w:val="center"/>
          </w:tcPr>
          <w:p w:rsidR="00F0713F" w:rsidRDefault="00576497">
            <w:pPr>
              <w:widowControl/>
              <w:jc w:val="center"/>
              <w:rPr>
                <w:rFonts w:ascii="仿宋" w:eastAsia="仿宋" w:hAnsi="仿宋" w:cs="仿宋"/>
                <w:color w:val="000000"/>
                <w:sz w:val="24"/>
              </w:rPr>
            </w:pPr>
            <w:r>
              <w:rPr>
                <w:rFonts w:ascii="仿宋" w:eastAsia="仿宋" w:hAnsi="仿宋" w:cs="仿宋" w:hint="eastAsia"/>
                <w:color w:val="000000"/>
                <w:sz w:val="24"/>
              </w:rPr>
              <w:t>三等奖</w:t>
            </w:r>
          </w:p>
        </w:tc>
      </w:tr>
      <w:tr w:rsidR="00F0713F">
        <w:trPr>
          <w:trHeight w:val="2810"/>
        </w:trPr>
        <w:tc>
          <w:tcPr>
            <w:tcW w:w="1421" w:type="dxa"/>
            <w:vAlign w:val="center"/>
          </w:tcPr>
          <w:p w:rsidR="00F0713F" w:rsidRDefault="00576497">
            <w:pPr>
              <w:jc w:val="center"/>
              <w:rPr>
                <w:rFonts w:ascii="仿宋" w:eastAsia="仿宋" w:hAnsi="仿宋" w:cs="仿宋"/>
                <w:color w:val="000000"/>
                <w:sz w:val="24"/>
              </w:rPr>
            </w:pPr>
            <w:r>
              <w:rPr>
                <w:rFonts w:ascii="仿宋" w:eastAsia="仿宋" w:hAnsi="仿宋" w:cs="仿宋" w:hint="eastAsia"/>
                <w:sz w:val="24"/>
              </w:rPr>
              <w:t>项目简介</w:t>
            </w:r>
          </w:p>
        </w:tc>
        <w:tc>
          <w:tcPr>
            <w:tcW w:w="7101" w:type="dxa"/>
            <w:gridSpan w:val="12"/>
          </w:tcPr>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截至2018年底，中国大陆已有32座城市建成地铁线路4511.3km，预计到2020年，地铁运营线路长度将超过6000km，是重要基础设施建设工程。地铁建设能有效的改善居民出行条件及品质，也是提升城市形象、改善城市结构的重要举措。</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车辆基地是地铁车辆检修的必备设施，是地铁系统高效、稳定、安全运行的重要保障，选址多位于城市区域，占地最大约40ha，投资最大约20亿元。伴随地铁线网规模化建设及城区建设用地日益稀缺，受布局决策水平、设计与建造技术、核心车辆检修装备集成化利用等因素制约，车辆基地的规划布局与资源共享决策、数字化整体建设、上盖开发结构体系创建及核心装备研制是实现其土地集约和高效利用的重难点。</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项目组依托苏州、无锡、武汉等城市地铁车辆基地项目群，历时近12年，针对车辆基地工程重难点问题进行技术攻关，并成功完成集成化综合应用。主要技术创新点如下：</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1）构建车辆基地规划布局及资源优化配置决策模型，研发了车辆基地规划布局及资源共享智能决策系统，攻克了多目标、多约束条件下的线网车辆基地选址、功能定位及上盖开发等决策难题，填补了行业空白。</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2）创建运用BIM手段的车辆基地整体建设技术。运用倾斜摄影、激光扫描、参数化建模等技术实现模型快速创建；自主开发《轨道交通车辆段室外综合管线设计系统》，研发综合管线碰撞点智能检测技术；运用虚拟现实技术进行检修工艺仿真、辅助制定施工方案、交互式运营培训仿真，提升设计、建造及运维效率及质量。</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3）首创基于基础有限刚度与上部结构共同作用理论的温度效应非线性仿真分析方法，解决了无围护超长（250m以上）混凝土结构在大温差（55℃）下弹性工作的行业难题；发明“带箱式转换巨型框支柱-剪力墙”新型结构体系，解决车辆基地上盖超大层高</w:t>
            </w:r>
            <w:r>
              <w:rPr>
                <w:rFonts w:ascii="仿宋" w:eastAsia="仿宋" w:hAnsi="仿宋" w:cs="仿宋" w:hint="eastAsia"/>
                <w:sz w:val="24"/>
              </w:rPr>
              <w:lastRenderedPageBreak/>
              <w:t>差异、转换结构跨度大等难题，首次实现上盖开发转换剪力墙完全不落地、全转换建筑群国内最高（74m），突破现有技术仅适用于转换上盖框架结构体系50m高的限制，为更高效集约利用土地提供了开创性的解决方案及实践经验。</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4）针对制约车辆基地占地面积与作业效率的关键车辆检修装备，进行了集成化创新：发明了带称重功能的兼容式整列固定式架车机（缩短作业时间40%），双向全方位自动洗车机（作业时间缩短60%），研发了钢结构立体检修作业平台（作业时间缩短50%），不仅大大提高了检修作业效率，增强检修工艺布置的灵活性，并为后期车辆基地上盖物业开发总体方案提供更加灵活的布置条件。</w:t>
            </w:r>
            <w:bookmarkStart w:id="0" w:name="_Hlk516625728"/>
          </w:p>
          <w:p w:rsidR="00F0713F" w:rsidRDefault="00576497">
            <w:pPr>
              <w:widowControl/>
              <w:adjustRightInd w:val="0"/>
              <w:spacing w:line="340" w:lineRule="atLeast"/>
              <w:ind w:firstLineChars="200" w:firstLine="480"/>
              <w:rPr>
                <w:rFonts w:ascii="仿宋" w:eastAsia="仿宋" w:hAnsi="仿宋" w:cs="仿宋"/>
                <w:color w:val="000000"/>
                <w:sz w:val="24"/>
              </w:rPr>
            </w:pPr>
            <w:r>
              <w:rPr>
                <w:rFonts w:ascii="仿宋" w:eastAsia="仿宋" w:hAnsi="仿宋" w:cs="仿宋" w:hint="eastAsia"/>
                <w:sz w:val="24"/>
              </w:rPr>
              <w:t>本项目获发明专利10项、实用新型专利21项、软件著作权6项，发表论文28篇。成果已应用于苏州、无锡、武汉等城市地铁项目，获国家级设计奖励1项，省部级设计奖励11项，</w:t>
            </w:r>
            <w:bookmarkStart w:id="1" w:name="_Hlk516625714"/>
            <w:r>
              <w:rPr>
                <w:rFonts w:ascii="仿宋" w:eastAsia="仿宋" w:hAnsi="仿宋" w:cs="仿宋" w:hint="eastAsia"/>
                <w:sz w:val="24"/>
              </w:rPr>
              <w:t>累计经济效益达11.48亿元</w:t>
            </w:r>
            <w:bookmarkEnd w:id="1"/>
            <w:r>
              <w:rPr>
                <w:rFonts w:ascii="仿宋" w:eastAsia="仿宋" w:hAnsi="仿宋" w:cs="仿宋" w:hint="eastAsia"/>
                <w:sz w:val="24"/>
              </w:rPr>
              <w:t>。由缪昌文院士等7位专家组成的鉴定委员会评价项目成果达到国际先进水平，其中数字化车辆基地整体建设技术达到国际领先水平，对节约土地资源做出了积极贡献。</w:t>
            </w:r>
            <w:bookmarkEnd w:id="0"/>
          </w:p>
        </w:tc>
      </w:tr>
      <w:tr w:rsidR="00F0713F">
        <w:trPr>
          <w:trHeight w:val="411"/>
        </w:trPr>
        <w:tc>
          <w:tcPr>
            <w:tcW w:w="1421" w:type="dxa"/>
            <w:vMerge w:val="restart"/>
            <w:vAlign w:val="center"/>
          </w:tcPr>
          <w:p w:rsidR="00F0713F" w:rsidRDefault="00576497">
            <w:pPr>
              <w:jc w:val="center"/>
              <w:rPr>
                <w:rFonts w:ascii="仿宋" w:eastAsia="仿宋" w:hAnsi="仿宋" w:cs="仿宋"/>
                <w:sz w:val="24"/>
              </w:rPr>
            </w:pPr>
            <w:r>
              <w:rPr>
                <w:rFonts w:ascii="仿宋" w:eastAsia="仿宋" w:hAnsi="仿宋" w:cs="仿宋" w:hint="eastAsia"/>
                <w:sz w:val="24"/>
              </w:rPr>
              <w:lastRenderedPageBreak/>
              <w:t>第一完成单位情况</w:t>
            </w:r>
          </w:p>
        </w:tc>
        <w:tc>
          <w:tcPr>
            <w:tcW w:w="1775" w:type="dxa"/>
            <w:gridSpan w:val="3"/>
            <w:vAlign w:val="center"/>
          </w:tcPr>
          <w:p w:rsidR="00F0713F" w:rsidRDefault="00576497">
            <w:pPr>
              <w:widowControl/>
              <w:jc w:val="center"/>
              <w:rPr>
                <w:rFonts w:ascii="仿宋" w:eastAsia="仿宋" w:hAnsi="仿宋" w:cs="仿宋"/>
                <w:color w:val="000000"/>
                <w:sz w:val="24"/>
              </w:rPr>
            </w:pPr>
            <w:r>
              <w:rPr>
                <w:rFonts w:ascii="仿宋" w:eastAsia="仿宋" w:hAnsi="仿宋" w:cs="仿宋" w:hint="eastAsia"/>
                <w:color w:val="000000"/>
                <w:sz w:val="24"/>
              </w:rPr>
              <w:t>单位名称</w:t>
            </w:r>
          </w:p>
        </w:tc>
        <w:tc>
          <w:tcPr>
            <w:tcW w:w="5326" w:type="dxa"/>
            <w:gridSpan w:val="9"/>
            <w:vAlign w:val="center"/>
          </w:tcPr>
          <w:p w:rsidR="00F0713F" w:rsidRDefault="00576497">
            <w:pPr>
              <w:widowControl/>
              <w:jc w:val="center"/>
              <w:rPr>
                <w:rFonts w:ascii="仿宋" w:eastAsia="仿宋" w:hAnsi="仿宋" w:cs="仿宋"/>
                <w:color w:val="000000"/>
                <w:sz w:val="24"/>
              </w:rPr>
            </w:pPr>
            <w:r>
              <w:rPr>
                <w:rFonts w:ascii="仿宋" w:eastAsia="仿宋" w:hAnsi="仿宋" w:cs="仿宋" w:hint="eastAsia"/>
                <w:color w:val="000000"/>
                <w:sz w:val="24"/>
              </w:rPr>
              <w:t>苏州市轨道交通集团有限公司</w:t>
            </w:r>
          </w:p>
        </w:tc>
      </w:tr>
      <w:tr w:rsidR="00F0713F">
        <w:trPr>
          <w:trHeight w:val="391"/>
        </w:trPr>
        <w:tc>
          <w:tcPr>
            <w:tcW w:w="1421" w:type="dxa"/>
            <w:vMerge/>
            <w:vAlign w:val="center"/>
          </w:tcPr>
          <w:p w:rsidR="00F0713F" w:rsidRDefault="00F0713F">
            <w:pPr>
              <w:widowControl/>
              <w:ind w:firstLineChars="200" w:firstLine="420"/>
              <w:jc w:val="left"/>
            </w:pPr>
          </w:p>
        </w:tc>
        <w:tc>
          <w:tcPr>
            <w:tcW w:w="1775" w:type="dxa"/>
            <w:gridSpan w:val="3"/>
            <w:vAlign w:val="center"/>
          </w:tcPr>
          <w:p w:rsidR="00F0713F" w:rsidRDefault="00576497">
            <w:pPr>
              <w:widowControl/>
              <w:jc w:val="center"/>
              <w:rPr>
                <w:rFonts w:ascii="仿宋" w:eastAsia="仿宋" w:hAnsi="仿宋" w:cs="仿宋"/>
                <w:sz w:val="24"/>
              </w:rPr>
            </w:pPr>
            <w:r>
              <w:rPr>
                <w:rFonts w:ascii="仿宋" w:eastAsia="仿宋" w:hAnsi="仿宋" w:cs="仿宋" w:hint="eastAsia"/>
                <w:sz w:val="24"/>
              </w:rPr>
              <w:t>法定代表人</w:t>
            </w:r>
          </w:p>
        </w:tc>
        <w:tc>
          <w:tcPr>
            <w:tcW w:w="1775" w:type="dxa"/>
            <w:gridSpan w:val="3"/>
            <w:vAlign w:val="center"/>
          </w:tcPr>
          <w:p w:rsidR="00F0713F" w:rsidRDefault="00576497">
            <w:pPr>
              <w:widowControl/>
              <w:jc w:val="center"/>
              <w:rPr>
                <w:rFonts w:ascii="仿宋" w:eastAsia="仿宋" w:hAnsi="仿宋" w:cs="仿宋"/>
                <w:sz w:val="24"/>
              </w:rPr>
            </w:pPr>
            <w:r>
              <w:rPr>
                <w:rFonts w:ascii="仿宋" w:eastAsia="仿宋" w:hAnsi="仿宋" w:cs="仿宋" w:hint="eastAsia"/>
                <w:color w:val="000000"/>
                <w:sz w:val="24"/>
              </w:rPr>
              <w:t>周明保</w:t>
            </w:r>
          </w:p>
        </w:tc>
        <w:tc>
          <w:tcPr>
            <w:tcW w:w="1775" w:type="dxa"/>
            <w:gridSpan w:val="4"/>
            <w:vAlign w:val="center"/>
          </w:tcPr>
          <w:p w:rsidR="00F0713F" w:rsidRDefault="00576497">
            <w:pPr>
              <w:widowControl/>
              <w:jc w:val="center"/>
              <w:rPr>
                <w:rFonts w:ascii="仿宋" w:eastAsia="仿宋" w:hAnsi="仿宋" w:cs="仿宋"/>
                <w:sz w:val="24"/>
              </w:rPr>
            </w:pPr>
            <w:r>
              <w:rPr>
                <w:rFonts w:ascii="仿宋" w:eastAsia="仿宋" w:hAnsi="仿宋" w:cs="仿宋" w:hint="eastAsia"/>
                <w:sz w:val="24"/>
              </w:rPr>
              <w:t>单位性质</w:t>
            </w:r>
          </w:p>
        </w:tc>
        <w:tc>
          <w:tcPr>
            <w:tcW w:w="1776" w:type="dxa"/>
            <w:gridSpan w:val="2"/>
            <w:vAlign w:val="center"/>
          </w:tcPr>
          <w:p w:rsidR="00F0713F" w:rsidRDefault="00576497">
            <w:pPr>
              <w:widowControl/>
              <w:jc w:val="center"/>
              <w:rPr>
                <w:rFonts w:ascii="仿宋" w:eastAsia="仿宋" w:hAnsi="仿宋" w:cs="仿宋"/>
                <w:color w:val="000000"/>
                <w:sz w:val="24"/>
              </w:rPr>
            </w:pPr>
            <w:r>
              <w:rPr>
                <w:rFonts w:ascii="仿宋" w:eastAsia="仿宋" w:hAnsi="仿宋" w:cs="仿宋" w:hint="eastAsia"/>
                <w:color w:val="000000"/>
                <w:sz w:val="24"/>
              </w:rPr>
              <w:t>国有企业</w:t>
            </w:r>
          </w:p>
        </w:tc>
      </w:tr>
      <w:tr w:rsidR="00F0713F">
        <w:trPr>
          <w:trHeight w:val="411"/>
        </w:trPr>
        <w:tc>
          <w:tcPr>
            <w:tcW w:w="1421" w:type="dxa"/>
            <w:vMerge/>
            <w:vAlign w:val="center"/>
          </w:tcPr>
          <w:p w:rsidR="00F0713F" w:rsidRDefault="00F0713F">
            <w:pPr>
              <w:widowControl/>
              <w:ind w:firstLineChars="200" w:firstLine="480"/>
              <w:jc w:val="left"/>
              <w:rPr>
                <w:rFonts w:ascii="仿宋" w:eastAsia="仿宋" w:hAnsi="仿宋" w:cs="仿宋"/>
                <w:color w:val="000000"/>
                <w:sz w:val="24"/>
              </w:rPr>
            </w:pPr>
          </w:p>
        </w:tc>
        <w:tc>
          <w:tcPr>
            <w:tcW w:w="1775" w:type="dxa"/>
            <w:gridSpan w:val="3"/>
            <w:vAlign w:val="center"/>
          </w:tcPr>
          <w:p w:rsidR="00F0713F" w:rsidRDefault="00576497">
            <w:pPr>
              <w:widowControl/>
              <w:jc w:val="center"/>
              <w:rPr>
                <w:rFonts w:ascii="仿宋" w:eastAsia="仿宋" w:hAnsi="仿宋" w:cs="仿宋"/>
                <w:color w:val="000000"/>
                <w:sz w:val="24"/>
              </w:rPr>
            </w:pPr>
            <w:r>
              <w:rPr>
                <w:rFonts w:ascii="仿宋" w:eastAsia="仿宋" w:hAnsi="仿宋" w:cs="仿宋" w:hint="eastAsia"/>
                <w:color w:val="000000"/>
                <w:sz w:val="24"/>
              </w:rPr>
              <w:t>通讯地址</w:t>
            </w:r>
          </w:p>
        </w:tc>
        <w:tc>
          <w:tcPr>
            <w:tcW w:w="5326" w:type="dxa"/>
            <w:gridSpan w:val="9"/>
            <w:vAlign w:val="center"/>
          </w:tcPr>
          <w:p w:rsidR="00F0713F" w:rsidRDefault="00576497">
            <w:pPr>
              <w:widowControl/>
              <w:jc w:val="center"/>
              <w:rPr>
                <w:rFonts w:ascii="仿宋" w:eastAsia="仿宋" w:hAnsi="仿宋" w:cs="仿宋"/>
                <w:color w:val="000000"/>
                <w:sz w:val="24"/>
              </w:rPr>
            </w:pPr>
            <w:r>
              <w:rPr>
                <w:rFonts w:ascii="仿宋" w:eastAsia="仿宋" w:hAnsi="仿宋" w:cs="仿宋" w:hint="eastAsia"/>
                <w:color w:val="000000"/>
                <w:sz w:val="24"/>
              </w:rPr>
              <w:t>江苏省苏州市干将西路668号</w:t>
            </w:r>
          </w:p>
        </w:tc>
      </w:tr>
      <w:tr w:rsidR="00F0713F">
        <w:trPr>
          <w:trHeight w:val="490"/>
        </w:trPr>
        <w:tc>
          <w:tcPr>
            <w:tcW w:w="1421" w:type="dxa"/>
            <w:vMerge/>
            <w:vAlign w:val="center"/>
          </w:tcPr>
          <w:p w:rsidR="00F0713F" w:rsidRDefault="00F0713F">
            <w:pPr>
              <w:widowControl/>
              <w:ind w:firstLineChars="200" w:firstLine="480"/>
              <w:jc w:val="left"/>
              <w:rPr>
                <w:rFonts w:ascii="仿宋" w:eastAsia="仿宋" w:hAnsi="仿宋" w:cs="仿宋"/>
                <w:color w:val="000000"/>
                <w:sz w:val="24"/>
              </w:rPr>
            </w:pPr>
          </w:p>
        </w:tc>
        <w:tc>
          <w:tcPr>
            <w:tcW w:w="7101" w:type="dxa"/>
            <w:gridSpan w:val="12"/>
            <w:vAlign w:val="center"/>
          </w:tcPr>
          <w:p w:rsidR="00F0713F" w:rsidRDefault="00576497">
            <w:pPr>
              <w:widowControl/>
              <w:jc w:val="left"/>
              <w:rPr>
                <w:rFonts w:ascii="仿宋" w:eastAsia="仿宋" w:hAnsi="仿宋" w:cs="仿宋"/>
                <w:color w:val="000000"/>
                <w:sz w:val="24"/>
              </w:rPr>
            </w:pPr>
            <w:r>
              <w:rPr>
                <w:rFonts w:ascii="仿宋" w:eastAsia="仿宋" w:hAnsi="仿宋" w:cs="仿宋" w:hint="eastAsia"/>
                <w:color w:val="000000"/>
                <w:sz w:val="24"/>
              </w:rPr>
              <w:t>对本项目科技创新和应用推广情况的贡献：</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苏州市轨道交通集团有限公司为市直属大型国有企业，主要承担苏州市轨道交通规划、建设、运营、资源开发及物业保障等工作，目前共有职工7000多人。近三年科研项目实际投入共计约500万元，拥有发明专利数量5个。</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作为项目开发总体，综合考虑节约集约用地和运营安全，充分分析规划布局与资源共享、协同设计与建造、上盖物业开发及关键技术装备对城市轨道交通建设的重要性，针对影响地铁车辆基地用地、建设及运营的关键问题，积极采用新技术、新工艺；主持项目总体策划及方案评审、研究，完成以下研究、协调、开发、应用与实践：</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1、研发多约束条件下多目标决策评价技术，构建了地铁车辆基地大数据环境下的车辆基地规划布局及资源共享决策平台，形成了车辆基地规划布局及资源共享决策评价体系，彻底改变既有的人工决策方式，成功应用于苏州轨道交通线网规划。</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2、参与数字化车辆基地整体解决方案制定，突破了车辆基地工程的多专业协同、BIM模型快速创建、管线碰撞智能化检测、车辆基地虚拟现实应用等关键技术，实现了1km半径范围广域空间、5mm高精度的车辆基地的数字化设计、建造及运维，并成功应用。</w:t>
            </w:r>
          </w:p>
          <w:p w:rsidR="00F0713F" w:rsidRDefault="00576497">
            <w:pPr>
              <w:widowControl/>
              <w:adjustRightInd w:val="0"/>
              <w:spacing w:line="340" w:lineRule="atLeast"/>
              <w:ind w:firstLineChars="200" w:firstLine="480"/>
              <w:rPr>
                <w:rFonts w:ascii="仿宋" w:eastAsia="仿宋" w:hAnsi="仿宋" w:cs="仿宋"/>
                <w:sz w:val="24"/>
              </w:rPr>
            </w:pPr>
            <w:r>
              <w:rPr>
                <w:rFonts w:ascii="仿宋" w:eastAsia="仿宋" w:hAnsi="仿宋" w:cs="仿宋" w:hint="eastAsia"/>
                <w:sz w:val="24"/>
              </w:rPr>
              <w:t>3、以苏州太平车辆段为依托，组织发明了“带箱式转换巨型框支柱-剪力墙”新型结构体系，解决了车辆基地上盖物业开发工</w:t>
            </w:r>
            <w:r>
              <w:rPr>
                <w:rFonts w:ascii="仿宋" w:eastAsia="仿宋" w:hAnsi="仿宋" w:cs="仿宋" w:hint="eastAsia"/>
                <w:sz w:val="24"/>
              </w:rPr>
              <w:lastRenderedPageBreak/>
              <w:t>程中超大层高差异、转换结构跨度大等问题，突破了现有技术建筑适用高度50米的限制，实现了上盖直接开发建筑群国内最高（74米）。</w:t>
            </w:r>
          </w:p>
          <w:p w:rsidR="00F0713F" w:rsidRDefault="00576497">
            <w:pPr>
              <w:widowControl/>
              <w:adjustRightInd w:val="0"/>
              <w:spacing w:line="340" w:lineRule="atLeast"/>
              <w:ind w:firstLineChars="200" w:firstLine="480"/>
              <w:rPr>
                <w:rFonts w:ascii="仿宋" w:eastAsia="仿宋" w:hAnsi="仿宋" w:cs="仿宋"/>
                <w:color w:val="000000"/>
                <w:sz w:val="24"/>
              </w:rPr>
            </w:pPr>
            <w:r>
              <w:rPr>
                <w:rFonts w:ascii="仿宋" w:eastAsia="仿宋" w:hAnsi="仿宋" w:cs="仿宋" w:hint="eastAsia"/>
                <w:sz w:val="24"/>
              </w:rPr>
              <w:t>4、参与关键运维设备集成性创新，与厂家协同研发适用于地铁车辆基地的集成工艺钢结构立体检修作业平台、双向全方位自动洗车机、带称重功能的新型兼容式整列固定式架车机、全功能转向架静载试验台等关键装备，提高了作业效率，保证了车辆安全运营。</w:t>
            </w:r>
          </w:p>
        </w:tc>
      </w:tr>
      <w:tr w:rsidR="00F0713F">
        <w:tblPrEx>
          <w:jc w:val="center"/>
        </w:tblPrEx>
        <w:trPr>
          <w:gridAfter w:val="1"/>
          <w:wAfter w:w="13" w:type="dxa"/>
          <w:cantSplit/>
          <w:trHeight w:val="631"/>
          <w:jc w:val="center"/>
        </w:trPr>
        <w:tc>
          <w:tcPr>
            <w:tcW w:w="1421" w:type="dxa"/>
            <w:vMerge w:val="restart"/>
            <w:tcBorders>
              <w:top w:val="single" w:sz="12" w:space="0" w:color="auto"/>
              <w:left w:val="single" w:sz="12" w:space="0" w:color="auto"/>
            </w:tcBorders>
            <w:vAlign w:val="center"/>
          </w:tcPr>
          <w:p w:rsidR="00F0713F" w:rsidRDefault="00F0713F">
            <w:pPr>
              <w:snapToGrid w:val="0"/>
              <w:jc w:val="center"/>
              <w:rPr>
                <w:rFonts w:ascii="仿宋" w:eastAsia="仿宋" w:hAnsi="仿宋" w:cs="仿宋"/>
                <w:sz w:val="24"/>
              </w:rPr>
            </w:pPr>
          </w:p>
          <w:p w:rsidR="00F0713F" w:rsidRDefault="00576497">
            <w:pPr>
              <w:snapToGrid w:val="0"/>
              <w:jc w:val="center"/>
              <w:rPr>
                <w:rFonts w:ascii="仿宋" w:eastAsia="仿宋" w:hAnsi="仿宋" w:cs="仿宋"/>
                <w:sz w:val="24"/>
              </w:rPr>
            </w:pPr>
            <w:r>
              <w:rPr>
                <w:rFonts w:ascii="仿宋" w:eastAsia="仿宋" w:hAnsi="仿宋" w:cs="仿宋" w:hint="eastAsia"/>
                <w:sz w:val="24"/>
              </w:rPr>
              <w:t>第一完成人情况</w:t>
            </w:r>
          </w:p>
        </w:tc>
        <w:tc>
          <w:tcPr>
            <w:tcW w:w="814" w:type="dxa"/>
            <w:tcBorders>
              <w:top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姓名</w:t>
            </w:r>
          </w:p>
        </w:tc>
        <w:tc>
          <w:tcPr>
            <w:tcW w:w="1127" w:type="dxa"/>
            <w:gridSpan w:val="3"/>
            <w:tcBorders>
              <w:top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color w:val="000000"/>
                <w:sz w:val="24"/>
              </w:rPr>
              <w:t>周明保</w:t>
            </w:r>
          </w:p>
        </w:tc>
        <w:tc>
          <w:tcPr>
            <w:tcW w:w="1107" w:type="dxa"/>
            <w:tcBorders>
              <w:top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性别</w:t>
            </w:r>
          </w:p>
        </w:tc>
        <w:tc>
          <w:tcPr>
            <w:tcW w:w="1152" w:type="dxa"/>
            <w:gridSpan w:val="2"/>
            <w:tcBorders>
              <w:top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男</w:t>
            </w:r>
          </w:p>
        </w:tc>
        <w:tc>
          <w:tcPr>
            <w:tcW w:w="745" w:type="dxa"/>
            <w:tcBorders>
              <w:top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color w:val="000000"/>
                <w:sz w:val="24"/>
              </w:rPr>
              <w:t>出生年月</w:t>
            </w:r>
          </w:p>
        </w:tc>
        <w:tc>
          <w:tcPr>
            <w:tcW w:w="2143" w:type="dxa"/>
            <w:gridSpan w:val="3"/>
            <w:tcBorders>
              <w:top w:val="single" w:sz="12" w:space="0" w:color="auto"/>
              <w:right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color w:val="000000"/>
                <w:sz w:val="24"/>
              </w:rPr>
              <w:t>1962.7</w:t>
            </w:r>
          </w:p>
        </w:tc>
      </w:tr>
      <w:tr w:rsidR="00F0713F">
        <w:tblPrEx>
          <w:jc w:val="center"/>
        </w:tblPrEx>
        <w:trPr>
          <w:gridAfter w:val="1"/>
          <w:wAfter w:w="13" w:type="dxa"/>
          <w:cantSplit/>
          <w:jc w:val="center"/>
        </w:trPr>
        <w:tc>
          <w:tcPr>
            <w:tcW w:w="1421" w:type="dxa"/>
            <w:vMerge/>
            <w:tcBorders>
              <w:left w:val="single" w:sz="12" w:space="0" w:color="auto"/>
            </w:tcBorders>
            <w:vAlign w:val="center"/>
          </w:tcPr>
          <w:p w:rsidR="00F0713F" w:rsidRDefault="00F0713F">
            <w:pPr>
              <w:snapToGrid w:val="0"/>
              <w:jc w:val="center"/>
              <w:rPr>
                <w:rFonts w:ascii="仿宋" w:eastAsia="仿宋" w:hAnsi="仿宋" w:cs="仿宋"/>
                <w:sz w:val="24"/>
              </w:rPr>
            </w:pPr>
          </w:p>
        </w:tc>
        <w:tc>
          <w:tcPr>
            <w:tcW w:w="814" w:type="dxa"/>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工作单位</w:t>
            </w:r>
          </w:p>
        </w:tc>
        <w:tc>
          <w:tcPr>
            <w:tcW w:w="3386" w:type="dxa"/>
            <w:gridSpan w:val="6"/>
            <w:vAlign w:val="center"/>
          </w:tcPr>
          <w:p w:rsidR="00F0713F" w:rsidRDefault="00576497">
            <w:pPr>
              <w:snapToGrid w:val="0"/>
              <w:jc w:val="center"/>
              <w:rPr>
                <w:rFonts w:ascii="仿宋" w:eastAsia="仿宋" w:hAnsi="仿宋" w:cs="仿宋"/>
                <w:sz w:val="24"/>
              </w:rPr>
            </w:pPr>
            <w:r>
              <w:rPr>
                <w:rFonts w:ascii="仿宋" w:eastAsia="仿宋" w:hAnsi="仿宋" w:cs="仿宋" w:hint="eastAsia"/>
                <w:color w:val="000000"/>
                <w:sz w:val="24"/>
              </w:rPr>
              <w:t>苏州市轨道交通集团有限公司</w:t>
            </w:r>
          </w:p>
        </w:tc>
        <w:tc>
          <w:tcPr>
            <w:tcW w:w="745" w:type="dxa"/>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专业</w:t>
            </w:r>
          </w:p>
        </w:tc>
        <w:tc>
          <w:tcPr>
            <w:tcW w:w="2143" w:type="dxa"/>
            <w:gridSpan w:val="3"/>
            <w:tcBorders>
              <w:right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color w:val="000000"/>
                <w:sz w:val="24"/>
              </w:rPr>
              <w:t>道路工程</w:t>
            </w:r>
          </w:p>
        </w:tc>
      </w:tr>
      <w:tr w:rsidR="00F0713F">
        <w:tblPrEx>
          <w:jc w:val="center"/>
        </w:tblPrEx>
        <w:trPr>
          <w:gridAfter w:val="1"/>
          <w:wAfter w:w="13" w:type="dxa"/>
          <w:cantSplit/>
          <w:jc w:val="center"/>
        </w:trPr>
        <w:tc>
          <w:tcPr>
            <w:tcW w:w="1421" w:type="dxa"/>
            <w:vMerge/>
            <w:tcBorders>
              <w:left w:val="single" w:sz="12" w:space="0" w:color="auto"/>
            </w:tcBorders>
            <w:vAlign w:val="center"/>
          </w:tcPr>
          <w:p w:rsidR="00F0713F" w:rsidRDefault="00F0713F">
            <w:pPr>
              <w:snapToGrid w:val="0"/>
              <w:jc w:val="center"/>
              <w:rPr>
                <w:rFonts w:ascii="仿宋" w:eastAsia="仿宋" w:hAnsi="仿宋" w:cs="仿宋"/>
                <w:sz w:val="24"/>
              </w:rPr>
            </w:pPr>
          </w:p>
        </w:tc>
        <w:tc>
          <w:tcPr>
            <w:tcW w:w="814" w:type="dxa"/>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技术职称</w:t>
            </w:r>
          </w:p>
        </w:tc>
        <w:tc>
          <w:tcPr>
            <w:tcW w:w="2234" w:type="dxa"/>
            <w:gridSpan w:val="4"/>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高工</w:t>
            </w:r>
          </w:p>
        </w:tc>
        <w:tc>
          <w:tcPr>
            <w:tcW w:w="1152" w:type="dxa"/>
            <w:gridSpan w:val="2"/>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职务</w:t>
            </w:r>
          </w:p>
        </w:tc>
        <w:tc>
          <w:tcPr>
            <w:tcW w:w="2888" w:type="dxa"/>
            <w:gridSpan w:val="4"/>
            <w:tcBorders>
              <w:right w:val="single" w:sz="12" w:space="0" w:color="auto"/>
            </w:tcBorders>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董事长</w:t>
            </w:r>
          </w:p>
        </w:tc>
      </w:tr>
      <w:tr w:rsidR="00F0713F">
        <w:tblPrEx>
          <w:jc w:val="center"/>
        </w:tblPrEx>
        <w:trPr>
          <w:gridAfter w:val="1"/>
          <w:wAfter w:w="13" w:type="dxa"/>
          <w:cantSplit/>
          <w:jc w:val="center"/>
        </w:trPr>
        <w:tc>
          <w:tcPr>
            <w:tcW w:w="1421" w:type="dxa"/>
            <w:vMerge/>
            <w:tcBorders>
              <w:left w:val="single" w:sz="12" w:space="0" w:color="auto"/>
            </w:tcBorders>
            <w:vAlign w:val="center"/>
          </w:tcPr>
          <w:p w:rsidR="00F0713F" w:rsidRDefault="00F0713F">
            <w:pPr>
              <w:snapToGrid w:val="0"/>
              <w:jc w:val="center"/>
              <w:rPr>
                <w:rFonts w:ascii="仿宋" w:eastAsia="仿宋" w:hAnsi="仿宋" w:cs="仿宋"/>
                <w:sz w:val="24"/>
              </w:rPr>
            </w:pPr>
          </w:p>
        </w:tc>
        <w:tc>
          <w:tcPr>
            <w:tcW w:w="1941" w:type="dxa"/>
            <w:gridSpan w:val="4"/>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参加本项目的起止时间</w:t>
            </w:r>
          </w:p>
        </w:tc>
        <w:tc>
          <w:tcPr>
            <w:tcW w:w="2259" w:type="dxa"/>
            <w:gridSpan w:val="3"/>
            <w:vAlign w:val="center"/>
          </w:tcPr>
          <w:p w:rsidR="00F0713F" w:rsidRDefault="00576497">
            <w:pPr>
              <w:snapToGrid w:val="0"/>
              <w:rPr>
                <w:rFonts w:ascii="仿宋" w:eastAsia="仿宋" w:hAnsi="仿宋" w:cs="仿宋"/>
                <w:sz w:val="24"/>
              </w:rPr>
            </w:pPr>
            <w:r>
              <w:rPr>
                <w:rFonts w:ascii="仿宋" w:eastAsia="仿宋" w:hAnsi="仿宋" w:cs="仿宋" w:hint="eastAsia"/>
                <w:color w:val="000000"/>
                <w:sz w:val="24"/>
              </w:rPr>
              <w:t>2004.1至 2018.12</w:t>
            </w:r>
          </w:p>
        </w:tc>
        <w:tc>
          <w:tcPr>
            <w:tcW w:w="906" w:type="dxa"/>
            <w:gridSpan w:val="2"/>
            <w:vAlign w:val="center"/>
          </w:tcPr>
          <w:p w:rsidR="00F0713F" w:rsidRDefault="00576497">
            <w:pPr>
              <w:snapToGrid w:val="0"/>
              <w:jc w:val="center"/>
              <w:rPr>
                <w:rFonts w:ascii="仿宋" w:eastAsia="仿宋" w:hAnsi="仿宋" w:cs="仿宋"/>
                <w:sz w:val="24"/>
              </w:rPr>
            </w:pPr>
            <w:r>
              <w:rPr>
                <w:rFonts w:ascii="仿宋" w:eastAsia="仿宋" w:hAnsi="仿宋" w:cs="仿宋" w:hint="eastAsia"/>
                <w:sz w:val="24"/>
              </w:rPr>
              <w:t>联系电话</w:t>
            </w:r>
          </w:p>
        </w:tc>
        <w:tc>
          <w:tcPr>
            <w:tcW w:w="1982" w:type="dxa"/>
            <w:gridSpan w:val="2"/>
            <w:tcBorders>
              <w:right w:val="single" w:sz="12" w:space="0" w:color="auto"/>
            </w:tcBorders>
            <w:vAlign w:val="center"/>
          </w:tcPr>
          <w:p w:rsidR="00F0713F" w:rsidRDefault="003C2DD6">
            <w:pPr>
              <w:snapToGrid w:val="0"/>
              <w:jc w:val="center"/>
              <w:rPr>
                <w:rFonts w:ascii="仿宋" w:eastAsia="仿宋" w:hAnsi="仿宋" w:cs="仿宋"/>
                <w:sz w:val="24"/>
              </w:rPr>
            </w:pPr>
            <w:r>
              <w:rPr>
                <w:rFonts w:ascii="仿宋" w:eastAsia="仿宋" w:hAnsi="仿宋" w:cs="仿宋"/>
                <w:color w:val="000000"/>
                <w:sz w:val="24"/>
              </w:rPr>
              <w:t>051269899999</w:t>
            </w:r>
          </w:p>
        </w:tc>
      </w:tr>
      <w:tr w:rsidR="00F0713F">
        <w:tblPrEx>
          <w:jc w:val="center"/>
        </w:tblPrEx>
        <w:trPr>
          <w:gridAfter w:val="1"/>
          <w:wAfter w:w="13" w:type="dxa"/>
          <w:cantSplit/>
          <w:trHeight w:val="1810"/>
          <w:jc w:val="center"/>
        </w:trPr>
        <w:tc>
          <w:tcPr>
            <w:tcW w:w="1421" w:type="dxa"/>
            <w:vMerge/>
            <w:tcBorders>
              <w:left w:val="single" w:sz="12" w:space="0" w:color="auto"/>
            </w:tcBorders>
            <w:vAlign w:val="center"/>
          </w:tcPr>
          <w:p w:rsidR="00F0713F" w:rsidRDefault="00F0713F">
            <w:pPr>
              <w:spacing w:line="500" w:lineRule="exact"/>
              <w:jc w:val="center"/>
              <w:rPr>
                <w:rFonts w:ascii="仿宋" w:eastAsia="仿宋" w:hAnsi="仿宋" w:cs="仿宋"/>
                <w:sz w:val="24"/>
              </w:rPr>
            </w:pPr>
          </w:p>
        </w:tc>
        <w:tc>
          <w:tcPr>
            <w:tcW w:w="854" w:type="dxa"/>
            <w:gridSpan w:val="2"/>
            <w:vAlign w:val="center"/>
          </w:tcPr>
          <w:p w:rsidR="00F0713F" w:rsidRDefault="00576497">
            <w:pPr>
              <w:jc w:val="center"/>
              <w:rPr>
                <w:rFonts w:ascii="仿宋" w:eastAsia="仿宋" w:hAnsi="仿宋" w:cs="仿宋"/>
                <w:sz w:val="24"/>
              </w:rPr>
            </w:pPr>
            <w:r>
              <w:rPr>
                <w:rFonts w:ascii="仿宋" w:eastAsia="仿宋" w:hAnsi="仿宋" w:cs="仿宋" w:hint="eastAsia"/>
                <w:sz w:val="24"/>
              </w:rPr>
              <w:t>创造性贡献</w:t>
            </w:r>
          </w:p>
        </w:tc>
        <w:tc>
          <w:tcPr>
            <w:tcW w:w="6234" w:type="dxa"/>
            <w:gridSpan w:val="9"/>
            <w:tcBorders>
              <w:right w:val="single" w:sz="12" w:space="0" w:color="auto"/>
            </w:tcBorders>
            <w:vAlign w:val="center"/>
          </w:tcPr>
          <w:p w:rsidR="00F0713F" w:rsidRDefault="00576497">
            <w:pPr>
              <w:ind w:firstLineChars="200" w:firstLine="480"/>
              <w:jc w:val="left"/>
              <w:rPr>
                <w:rFonts w:ascii="仿宋" w:eastAsia="仿宋" w:hAnsi="仿宋" w:cs="仿宋"/>
                <w:sz w:val="24"/>
              </w:rPr>
            </w:pPr>
            <w:r>
              <w:rPr>
                <w:rFonts w:ascii="仿宋" w:eastAsia="仿宋" w:hAnsi="仿宋" w:cs="仿宋" w:hint="eastAsia"/>
                <w:color w:val="000000"/>
                <w:sz w:val="24"/>
              </w:rPr>
              <w:t>课题组组长，负责把握课题研究思路，参与各项创新工作，编制研究大纲。在本项目研发工作中投入的工作量占本人总工作量的60％，主要创造性贡献为科技创新点一，具体如下： 1、负责项目总体方案制定，提出项目研发思路；2、主持车辆基地规划布局及资源共享决策系统研究，提出规划布局及资源优化配置的需求；3、参与研究报告编制。</w:t>
            </w:r>
            <w:bookmarkStart w:id="2" w:name="_GoBack"/>
            <w:bookmarkEnd w:id="2"/>
          </w:p>
        </w:tc>
      </w:tr>
      <w:tr w:rsidR="00F0713F">
        <w:tblPrEx>
          <w:jc w:val="center"/>
        </w:tblPrEx>
        <w:trPr>
          <w:gridAfter w:val="1"/>
          <w:wAfter w:w="13" w:type="dxa"/>
          <w:cantSplit/>
          <w:trHeight w:val="1810"/>
          <w:jc w:val="center"/>
        </w:trPr>
        <w:tc>
          <w:tcPr>
            <w:tcW w:w="1421" w:type="dxa"/>
            <w:vMerge/>
            <w:tcBorders>
              <w:left w:val="single" w:sz="12" w:space="0" w:color="auto"/>
            </w:tcBorders>
            <w:vAlign w:val="center"/>
          </w:tcPr>
          <w:p w:rsidR="00F0713F" w:rsidRDefault="00F0713F">
            <w:pPr>
              <w:spacing w:line="500" w:lineRule="exact"/>
              <w:jc w:val="center"/>
              <w:rPr>
                <w:rFonts w:ascii="仿宋" w:eastAsia="仿宋" w:hAnsi="仿宋" w:cs="仿宋"/>
                <w:sz w:val="24"/>
              </w:rPr>
            </w:pPr>
          </w:p>
        </w:tc>
        <w:tc>
          <w:tcPr>
            <w:tcW w:w="854" w:type="dxa"/>
            <w:gridSpan w:val="2"/>
            <w:vAlign w:val="center"/>
          </w:tcPr>
          <w:p w:rsidR="00F0713F" w:rsidRDefault="00576497">
            <w:pPr>
              <w:jc w:val="left"/>
              <w:rPr>
                <w:rFonts w:ascii="仿宋" w:eastAsia="仿宋" w:hAnsi="仿宋" w:cs="仿宋"/>
                <w:sz w:val="24"/>
              </w:rPr>
            </w:pPr>
            <w:r>
              <w:rPr>
                <w:rFonts w:ascii="仿宋" w:eastAsia="仿宋" w:hAnsi="仿宋" w:cs="仿宋" w:hint="eastAsia"/>
                <w:sz w:val="24"/>
              </w:rPr>
              <w:t>曾获国家、省部级科技奖励情况</w:t>
            </w:r>
          </w:p>
        </w:tc>
        <w:tc>
          <w:tcPr>
            <w:tcW w:w="6234" w:type="dxa"/>
            <w:gridSpan w:val="9"/>
            <w:tcBorders>
              <w:right w:val="single" w:sz="12" w:space="0" w:color="auto"/>
            </w:tcBorders>
            <w:vAlign w:val="center"/>
          </w:tcPr>
          <w:p w:rsidR="00F0713F" w:rsidRDefault="00576497">
            <w:pPr>
              <w:ind w:firstLineChars="200" w:firstLine="480"/>
              <w:rPr>
                <w:rFonts w:ascii="仿宋" w:eastAsia="仿宋" w:hAnsi="仿宋" w:cs="仿宋"/>
                <w:color w:val="000000"/>
                <w:sz w:val="24"/>
              </w:rPr>
            </w:pPr>
            <w:r>
              <w:rPr>
                <w:rFonts w:ascii="仿宋" w:eastAsia="仿宋" w:hAnsi="仿宋" w:cs="仿宋" w:hint="eastAsia"/>
                <w:color w:val="000000"/>
                <w:sz w:val="24"/>
              </w:rPr>
              <w:t>1.《苏州轨道交通一号线工程建设安全控制关键技术研究》获2013年江苏省科学技术三等奖；</w:t>
            </w:r>
          </w:p>
          <w:p w:rsidR="00F0713F" w:rsidRDefault="00576497">
            <w:pPr>
              <w:ind w:firstLineChars="200" w:firstLine="480"/>
              <w:rPr>
                <w:rFonts w:ascii="仿宋" w:eastAsia="仿宋" w:hAnsi="仿宋" w:cs="仿宋"/>
                <w:color w:val="000000"/>
                <w:sz w:val="24"/>
              </w:rPr>
            </w:pPr>
            <w:r>
              <w:rPr>
                <w:rFonts w:ascii="仿宋" w:eastAsia="仿宋" w:hAnsi="仿宋" w:cs="仿宋" w:hint="eastAsia"/>
                <w:color w:val="000000"/>
                <w:sz w:val="24"/>
              </w:rPr>
              <w:t>2.《盾构切削大直径钢筋混凝土群桩关键技术》获2017年教育部科学技术进步二等奖；</w:t>
            </w:r>
          </w:p>
          <w:p w:rsidR="00F0713F" w:rsidRDefault="00576497">
            <w:pPr>
              <w:ind w:firstLineChars="200" w:firstLine="480"/>
              <w:rPr>
                <w:rFonts w:ascii="仿宋" w:eastAsia="仿宋" w:hAnsi="仿宋" w:cs="仿宋"/>
                <w:color w:val="000000"/>
                <w:sz w:val="24"/>
              </w:rPr>
            </w:pPr>
            <w:r>
              <w:rPr>
                <w:rFonts w:ascii="仿宋" w:eastAsia="仿宋" w:hAnsi="仿宋" w:cs="仿宋" w:hint="eastAsia"/>
                <w:color w:val="000000"/>
                <w:sz w:val="24"/>
              </w:rPr>
              <w:t>3.《古城区富水粉砂地层盾构连续切削、穿越建（构）筑物群关键技术》获2018年华夏建设科学技术二等奖；</w:t>
            </w:r>
          </w:p>
          <w:p w:rsidR="00F0713F" w:rsidRDefault="00576497">
            <w:pPr>
              <w:widowControl/>
              <w:ind w:firstLineChars="200" w:firstLine="480"/>
              <w:jc w:val="left"/>
              <w:rPr>
                <w:rFonts w:ascii="仿宋" w:eastAsia="仿宋" w:hAnsi="仿宋" w:cs="仿宋"/>
                <w:color w:val="000000"/>
                <w:sz w:val="24"/>
              </w:rPr>
            </w:pPr>
            <w:r>
              <w:rPr>
                <w:rFonts w:ascii="仿宋" w:eastAsia="仿宋" w:hAnsi="仿宋" w:cs="仿宋" w:hint="eastAsia"/>
                <w:color w:val="000000"/>
                <w:sz w:val="24"/>
              </w:rPr>
              <w:t>4.《富水软弱地层地铁盾构穿越建（构）筑物安全控制关键技术》获2018年中国城市轨道交通协会城市轨道交通科技进步三等奖。</w:t>
            </w:r>
          </w:p>
        </w:tc>
      </w:tr>
    </w:tbl>
    <w:p w:rsidR="00F0713F" w:rsidRDefault="00F0713F" w:rsidP="00173E9A"/>
    <w:sectPr w:rsidR="00F0713F" w:rsidSect="00F071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39" w:rsidRDefault="002A5739" w:rsidP="00F0713F">
      <w:pPr>
        <w:ind w:left="560" w:firstLine="480"/>
      </w:pPr>
      <w:r>
        <w:separator/>
      </w:r>
    </w:p>
  </w:endnote>
  <w:endnote w:type="continuationSeparator" w:id="0">
    <w:p w:rsidR="002A5739" w:rsidRDefault="002A5739" w:rsidP="00F0713F">
      <w:pPr>
        <w:ind w:left="56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3F" w:rsidRDefault="002A5739">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F0713F" w:rsidRDefault="00F0713F">
                <w:pPr>
                  <w:pStyle w:val="a3"/>
                </w:pPr>
                <w:r>
                  <w:rPr>
                    <w:rFonts w:hint="eastAsia"/>
                  </w:rPr>
                  <w:fldChar w:fldCharType="begin"/>
                </w:r>
                <w:r w:rsidR="00576497">
                  <w:rPr>
                    <w:rFonts w:hint="eastAsia"/>
                  </w:rPr>
                  <w:instrText xml:space="preserve"> PAGE  \* MERGEFORMAT </w:instrText>
                </w:r>
                <w:r>
                  <w:rPr>
                    <w:rFonts w:hint="eastAsia"/>
                  </w:rPr>
                  <w:fldChar w:fldCharType="separate"/>
                </w:r>
                <w:r w:rsidR="003C2DD6">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39" w:rsidRDefault="002A5739" w:rsidP="00F0713F">
      <w:pPr>
        <w:ind w:left="560" w:firstLine="480"/>
      </w:pPr>
      <w:r>
        <w:separator/>
      </w:r>
    </w:p>
  </w:footnote>
  <w:footnote w:type="continuationSeparator" w:id="0">
    <w:p w:rsidR="002A5739" w:rsidRDefault="002A5739" w:rsidP="00F0713F">
      <w:pPr>
        <w:ind w:left="560"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17D5"/>
    <w:rsid w:val="00173E9A"/>
    <w:rsid w:val="002A5739"/>
    <w:rsid w:val="003C2DD6"/>
    <w:rsid w:val="00576497"/>
    <w:rsid w:val="00825DE0"/>
    <w:rsid w:val="00C217D5"/>
    <w:rsid w:val="00C70B1A"/>
    <w:rsid w:val="00EE6541"/>
    <w:rsid w:val="00F0713F"/>
    <w:rsid w:val="01D44D59"/>
    <w:rsid w:val="01D559E5"/>
    <w:rsid w:val="01FC085A"/>
    <w:rsid w:val="027B04B7"/>
    <w:rsid w:val="02CD33DD"/>
    <w:rsid w:val="036A6A3A"/>
    <w:rsid w:val="03C21754"/>
    <w:rsid w:val="054A45DB"/>
    <w:rsid w:val="05984BF0"/>
    <w:rsid w:val="0802481C"/>
    <w:rsid w:val="09D64550"/>
    <w:rsid w:val="0BA83515"/>
    <w:rsid w:val="0C6278C2"/>
    <w:rsid w:val="10892552"/>
    <w:rsid w:val="11210A55"/>
    <w:rsid w:val="14CF6686"/>
    <w:rsid w:val="15415407"/>
    <w:rsid w:val="16104AEA"/>
    <w:rsid w:val="18181EBD"/>
    <w:rsid w:val="1958391F"/>
    <w:rsid w:val="19B751C6"/>
    <w:rsid w:val="1AE528D2"/>
    <w:rsid w:val="1B603EC0"/>
    <w:rsid w:val="1BB04A0D"/>
    <w:rsid w:val="1C1F5E3B"/>
    <w:rsid w:val="1C7070A7"/>
    <w:rsid w:val="1D246213"/>
    <w:rsid w:val="1E056F4A"/>
    <w:rsid w:val="1F924BAC"/>
    <w:rsid w:val="21C022A9"/>
    <w:rsid w:val="22431C85"/>
    <w:rsid w:val="22652085"/>
    <w:rsid w:val="226E53B9"/>
    <w:rsid w:val="23196BD2"/>
    <w:rsid w:val="27F40EEE"/>
    <w:rsid w:val="29506CF4"/>
    <w:rsid w:val="2B0E1D8D"/>
    <w:rsid w:val="2DE70BC6"/>
    <w:rsid w:val="2E056548"/>
    <w:rsid w:val="2EAF1870"/>
    <w:rsid w:val="2EBD3706"/>
    <w:rsid w:val="304E62FD"/>
    <w:rsid w:val="313F1C02"/>
    <w:rsid w:val="316F0CAF"/>
    <w:rsid w:val="327417C3"/>
    <w:rsid w:val="329A23BC"/>
    <w:rsid w:val="33077DFD"/>
    <w:rsid w:val="346E0D7F"/>
    <w:rsid w:val="36D9522A"/>
    <w:rsid w:val="36E1405C"/>
    <w:rsid w:val="37E356C3"/>
    <w:rsid w:val="38572F51"/>
    <w:rsid w:val="39B44C3E"/>
    <w:rsid w:val="3B337187"/>
    <w:rsid w:val="3E771EFA"/>
    <w:rsid w:val="3ECC2CC4"/>
    <w:rsid w:val="40DA3199"/>
    <w:rsid w:val="41234682"/>
    <w:rsid w:val="45D10051"/>
    <w:rsid w:val="4696198B"/>
    <w:rsid w:val="479B5DDE"/>
    <w:rsid w:val="480F7007"/>
    <w:rsid w:val="498406F3"/>
    <w:rsid w:val="49DB60B5"/>
    <w:rsid w:val="4ACC7FCC"/>
    <w:rsid w:val="4AE41EF4"/>
    <w:rsid w:val="4C6B5D68"/>
    <w:rsid w:val="4C965708"/>
    <w:rsid w:val="4F18302E"/>
    <w:rsid w:val="51997426"/>
    <w:rsid w:val="52A47850"/>
    <w:rsid w:val="535C7FC7"/>
    <w:rsid w:val="53AC3DC1"/>
    <w:rsid w:val="57BD4F88"/>
    <w:rsid w:val="5AA75215"/>
    <w:rsid w:val="5B3A676E"/>
    <w:rsid w:val="5C835D04"/>
    <w:rsid w:val="5E7479AC"/>
    <w:rsid w:val="628050DD"/>
    <w:rsid w:val="63B0728F"/>
    <w:rsid w:val="64AD53DE"/>
    <w:rsid w:val="66B232DC"/>
    <w:rsid w:val="67FD6397"/>
    <w:rsid w:val="68151AB1"/>
    <w:rsid w:val="6AAE2AD3"/>
    <w:rsid w:val="6B667A6E"/>
    <w:rsid w:val="6C69425A"/>
    <w:rsid w:val="6CA812AE"/>
    <w:rsid w:val="6EBC0AB1"/>
    <w:rsid w:val="6FC86654"/>
    <w:rsid w:val="6FF52C18"/>
    <w:rsid w:val="702367C5"/>
    <w:rsid w:val="7089785E"/>
    <w:rsid w:val="71995998"/>
    <w:rsid w:val="72C6443D"/>
    <w:rsid w:val="75E0557C"/>
    <w:rsid w:val="77395AFB"/>
    <w:rsid w:val="7847247D"/>
    <w:rsid w:val="7B7F1F69"/>
    <w:rsid w:val="7C587FF2"/>
    <w:rsid w:val="7C717658"/>
    <w:rsid w:val="7CCF0FF4"/>
    <w:rsid w:val="7D401025"/>
    <w:rsid w:val="7D757205"/>
    <w:rsid w:val="7EE91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1D3ECAB"/>
  <w15:docId w15:val="{FF369C03-D167-418B-8E0A-F49FA174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0713F"/>
    <w:pPr>
      <w:tabs>
        <w:tab w:val="center" w:pos="4153"/>
        <w:tab w:val="right" w:pos="8306"/>
      </w:tabs>
      <w:snapToGrid w:val="0"/>
      <w:jc w:val="left"/>
    </w:pPr>
    <w:rPr>
      <w:sz w:val="18"/>
    </w:rPr>
  </w:style>
  <w:style w:type="paragraph" w:styleId="a4">
    <w:name w:val="header"/>
    <w:basedOn w:val="a"/>
    <w:qFormat/>
    <w:rsid w:val="00F071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F071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401</Words>
  <Characters>2291</Characters>
  <Application>Microsoft Office Word</Application>
  <DocSecurity>0</DocSecurity>
  <Lines>19</Lines>
  <Paragraphs>5</Paragraphs>
  <ScaleCrop>false</ScaleCrop>
  <Company>Microsoft</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205</dc:creator>
  <cp:lastModifiedBy>朱东岭</cp:lastModifiedBy>
  <cp:revision>4</cp:revision>
  <dcterms:created xsi:type="dcterms:W3CDTF">2019-05-28T03:04:00Z</dcterms:created>
  <dcterms:modified xsi:type="dcterms:W3CDTF">2019-05-29T01:14:00Z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